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0D2340"/>
          </w:tcPr>
          <w:p>
            <w:pPr>
              <w:jc w:val="left"/>
              <w:spacing w:before="120" w:after="40"/>
            </w:pPr>
            <w:r>
              <w:rPr>
                <w:rFonts w:ascii="Arial" w:hAnsi="Arial"/>
                <w:b/>
                <w:color w:val="00B4A6"/>
                <w:sz w:val="17"/>
              </w:rPr>
              <w:t>DoDEA 21st Century Schools  |  Professional Learning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color w:val="FFFFFF"/>
                <w:sz w:val="52"/>
              </w:rPr>
              <w:t>Teacher Led Rounds</w:t>
            </w:r>
          </w:p>
          <w:p>
            <w:pPr>
              <w:spacing w:before="0" w:after="60"/>
            </w:pPr>
            <w:r>
              <w:rPr>
                <w:rFonts w:ascii="Arial" w:hAnsi="Arial"/>
                <w:color w:val="CCEEEC"/>
                <w:sz w:val="22"/>
              </w:rPr>
              <w:t>A practitioner's guide to planning, facilitating, and sustaining rounds at your school</w:t>
            </w:r>
          </w:p>
        </w:tc>
      </w:tr>
    </w:tbl>
    <w:p/>
    <w:p>
      <w:pPr>
        <w:spacing w:before="200" w:after="120"/>
      </w:pPr>
      <w:r>
        <w:rPr>
          <w:rFonts w:ascii="Arial" w:hAnsi="Arial"/>
          <w:b/>
          <w:color w:val="0D2340"/>
          <w:sz w:val="32"/>
        </w:rPr>
        <w:t>What Are Teacher Led Rounds?</w:t>
      </w:r>
    </w:p>
    <w:p>
      <w:pPr>
        <w:spacing w:before="80" w:after="80"/>
      </w:pPr>
      <w:r>
        <w:rPr>
          <w:rFonts w:ascii="Arial" w:hAnsi="Arial"/>
          <w:b w:val="0"/>
          <w:i w:val="0"/>
          <w:color w:val="1A1A2E"/>
          <w:sz w:val="22"/>
        </w:rPr>
        <w:t>Teacher Led Rounds (TLR) are a structured, collegial process in which small groups of teachers visit classrooms together to observe teaching and learning — not to evaluate, but to learn. Grounded in Harvard's Instructional Rounds framework (City, Elmore, Fiarman &amp; Teitel), TLR adapts that model for teacher-ownership: teachers design the focus, conduct the observations, and lead the professional conversation that follows.</w:t>
      </w:r>
    </w:p>
    <w:p>
      <w:pPr>
        <w:spacing w:before="0" w:after="100"/>
      </w:pPr>
      <w:r>
        <w:rPr>
          <w:rFonts w:ascii="Arial" w:hAnsi="Arial"/>
          <w:b w:val="0"/>
          <w:i/>
          <w:color w:val="33556E"/>
          <w:sz w:val="22"/>
        </w:rPr>
        <w:t>In a DoDEA 21st century school, Rounds are especially powerful because your building is designed for flexible, collaborative learning. The open spaces, co-teaching structures, and maker zones give observers a rich and varied environment to explore together.</w:t>
      </w:r>
    </w:p>
    <w:p>
      <w:pPr>
        <w:spacing w:before="60" w:after="60"/>
        <w:pBdr>
          <w:bottom w:val="single" w:sz="6" w:space="1" w:color="00B4A6"/>
        </w:pBdr>
      </w:pPr>
    </w:p>
    <w:p>
      <w:pPr>
        <w:spacing w:before="160" w:after="80"/>
      </w:pPr>
      <w:r>
        <w:rPr>
          <w:rFonts w:ascii="Arial" w:hAnsi="Arial"/>
          <w:b/>
          <w:color w:val="00B4A6"/>
          <w:sz w:val="26"/>
        </w:rPr>
        <w:t>Three Guiding Principles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00B4A6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Descriptive, Not Evaluative</w:t>
            </w:r>
          </w:p>
        </w:tc>
        <w:tc>
          <w:tcPr>
            <w:tcW w:type="dxa" w:w="3120"/>
            <w:shd w:val="clear" w:color="auto" w:fill="0D2340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Low Stakes, High Trust</w:t>
            </w:r>
          </w:p>
        </w:tc>
        <w:tc>
          <w:tcPr>
            <w:tcW w:type="dxa" w:w="3120"/>
            <w:shd w:val="clear" w:color="auto" w:fill="F5A623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Inquiry Focused</w:t>
            </w:r>
          </w:p>
        </w:tc>
      </w:tr>
      <w:tr>
        <w:tc>
          <w:tcPr>
            <w:tcW w:type="dxa" w:w="312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Observers collect evidence of what students are doing and saying — not judgements about teacher quality.</w:t>
            </w:r>
          </w:p>
        </w:tc>
        <w:tc>
          <w:tcPr>
            <w:tcW w:type="dxa" w:w="312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Rounds create safety. Nothing observed is reported to admin as evaluation data. Teachers own the process.</w:t>
            </w:r>
          </w:p>
        </w:tc>
        <w:tc>
          <w:tcPr>
            <w:tcW w:type="dxa" w:w="312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Every round begins with a shared question. Debrief conversations return to that question, not to opinions.</w:t>
            </w:r>
          </w:p>
        </w:tc>
      </w:tr>
    </w:tbl>
    <w:p/>
    <w:p>
      <w:pPr>
        <w:spacing w:before="60" w:after="60"/>
        <w:pBdr>
          <w:bottom w:val="single" w:sz="6" w:space="1" w:color="00B4A6"/>
        </w:pBdr>
      </w:pPr>
    </w:p>
    <w:p>
      <w:pPr>
        <w:spacing w:before="200" w:after="120"/>
      </w:pPr>
      <w:r>
        <w:rPr>
          <w:rFonts w:ascii="Arial" w:hAnsi="Arial"/>
          <w:b/>
          <w:color w:val="0D2340"/>
          <w:sz w:val="32"/>
        </w:rPr>
        <w:t>The Four Phases of a Round</w:t>
      </w:r>
    </w:p>
    <w:p>
      <w:pPr>
        <w:spacing w:before="60" w:after="100"/>
      </w:pPr>
      <w:r>
        <w:rPr>
          <w:rFonts w:ascii="Arial" w:hAnsi="Arial"/>
          <w:b w:val="0"/>
          <w:i w:val="0"/>
          <w:color w:val="1A1A2E"/>
          <w:sz w:val="22"/>
        </w:rPr>
        <w:t>Each round moves through four phases. Together they take approximately 2–3 hours.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008"/>
            <w:shd w:val="clear" w:color="auto" w:fill="00B4A6"/>
            <w:vAlign w:val="center"/>
          </w:tcPr>
          <w:p>
            <w:pPr>
              <w:jc w:val="center"/>
              <w:spacing w:before="80" w:after="0"/>
            </w:pPr>
            <w:r>
              <w:rPr>
                <w:rFonts w:ascii="Arial" w:hAnsi="Arial"/>
                <w:b/>
                <w:color w:val="FFFFFF"/>
                <w:sz w:val="40"/>
              </w:rPr>
              <w:t>01</w:t>
            </w:r>
          </w:p>
          <w:p>
            <w:pPr>
              <w:jc w:val="center"/>
              <w:spacing w:before="0" w:after="80"/>
            </w:pPr>
            <w:r>
              <w:rPr>
                <w:rFonts w:ascii="Arial" w:hAnsi="Arial"/>
                <w:b w:val="0"/>
                <w:color w:val="FFFFFF"/>
                <w:sz w:val="15"/>
              </w:rPr>
              <w:t>30–45 min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00B4A6"/>
                <w:sz w:val="26"/>
              </w:rPr>
              <w:t>Pre-Brief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Establish or revisit the Group Norms (see Appendix)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Review the Problem of Practice (PoP) — the shared inquiry question for this round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Remind observers: collect evidence only — what you SEE and HEAR students doing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Assign observation roles if helpful (student engagement, talk patterns, task level)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Review the observation protocol form together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008"/>
            <w:shd w:val="clear" w:color="auto" w:fill="0D2340"/>
            <w:vAlign w:val="center"/>
          </w:tcPr>
          <w:p>
            <w:pPr>
              <w:jc w:val="center"/>
              <w:spacing w:before="80" w:after="0"/>
            </w:pPr>
            <w:r>
              <w:rPr>
                <w:rFonts w:ascii="Arial" w:hAnsi="Arial"/>
                <w:b/>
                <w:color w:val="FFFFFF"/>
                <w:sz w:val="40"/>
              </w:rPr>
              <w:t>02</w:t>
            </w:r>
          </w:p>
          <w:p>
            <w:pPr>
              <w:jc w:val="center"/>
              <w:spacing w:before="0" w:after="80"/>
            </w:pPr>
            <w:r>
              <w:rPr>
                <w:rFonts w:ascii="Arial" w:hAnsi="Arial"/>
                <w:b w:val="0"/>
                <w:color w:val="FFFFFF"/>
                <w:sz w:val="15"/>
              </w:rPr>
              <w:t>45–60 min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0D2340"/>
                <w:sz w:val="26"/>
              </w:rPr>
              <w:t>Classroom Visits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Visit 3–4 classrooms, 10–15 minutes each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Move quietly; sit or crouch to be eye-level with students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Record direct evidence: exact student words, student actions, task descriptions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Do NOT write evaluative language — avoid 'good', 'weak', 'struggling'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In co-teaching rooms: note how both teachers and students are positioned and engaged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008"/>
            <w:shd w:val="clear" w:color="auto" w:fill="E8624A"/>
            <w:vAlign w:val="center"/>
          </w:tcPr>
          <w:p>
            <w:pPr>
              <w:jc w:val="center"/>
              <w:spacing w:before="80" w:after="0"/>
            </w:pPr>
            <w:r>
              <w:rPr>
                <w:rFonts w:ascii="Arial" w:hAnsi="Arial"/>
                <w:b/>
                <w:color w:val="FFFFFF"/>
                <w:sz w:val="40"/>
              </w:rPr>
              <w:t>03</w:t>
            </w:r>
          </w:p>
          <w:p>
            <w:pPr>
              <w:jc w:val="center"/>
              <w:spacing w:before="0" w:after="80"/>
            </w:pPr>
            <w:r>
              <w:rPr>
                <w:rFonts w:ascii="Arial" w:hAnsi="Arial"/>
                <w:b w:val="0"/>
                <w:color w:val="FFFFFF"/>
                <w:sz w:val="15"/>
              </w:rPr>
              <w:t>45–60 min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E8624A"/>
                <w:sz w:val="26"/>
              </w:rPr>
              <w:t>Debrief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Start with evidence sorting — what patterns did the group notice?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Use the 'Notice / Wonder / Implication' protocol (see Appendix)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Connect findings back to the Problem of Practice question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Generate 2–3 actionable implications for instruction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Protect this time — it is the most important part of the process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008"/>
            <w:shd w:val="clear" w:color="auto" w:fill="F5A623"/>
            <w:vAlign w:val="center"/>
          </w:tcPr>
          <w:p>
            <w:pPr>
              <w:jc w:val="center"/>
              <w:spacing w:before="80" w:after="0"/>
            </w:pPr>
            <w:r>
              <w:rPr>
                <w:rFonts w:ascii="Arial" w:hAnsi="Arial"/>
                <w:b/>
                <w:color w:val="FFFFFF"/>
                <w:sz w:val="40"/>
              </w:rPr>
              <w:t>04</w:t>
            </w:r>
          </w:p>
          <w:p>
            <w:pPr>
              <w:jc w:val="center"/>
              <w:spacing w:before="0" w:after="80"/>
            </w:pPr>
            <w:r>
              <w:rPr>
                <w:rFonts w:ascii="Arial" w:hAnsi="Arial"/>
                <w:b w:val="0"/>
                <w:color w:val="FFFFFF"/>
                <w:sz w:val="15"/>
              </w:rPr>
              <w:t>15–20 min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F5A623"/>
                <w:sz w:val="26"/>
              </w:rPr>
              <w:t>Next Steps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Each teacher identifies one thing to try in their own classroom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Set the date and focus for the next round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Update the school's Round Log (see planning calendar template)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Optional: host teacher shares one reflection on the experience</w:t>
            </w:r>
          </w:p>
          <w:p>
            <w:pPr>
              <w:spacing w:before="0" w:after="80"/>
            </w:pPr>
          </w:p>
        </w:tc>
      </w:tr>
    </w:tbl>
    <w:p/>
    <w:p>
      <w:pPr>
        <w:spacing w:before="60" w:after="60"/>
        <w:pBdr>
          <w:bottom w:val="single" w:sz="6" w:space="1" w:color="00B4A6"/>
        </w:pBdr>
      </w:pPr>
    </w:p>
    <w:p>
      <w:pPr>
        <w:spacing w:before="200" w:after="120"/>
      </w:pPr>
      <w:r>
        <w:rPr>
          <w:rFonts w:ascii="Arial" w:hAnsi="Arial"/>
          <w:b/>
          <w:color w:val="0D2340"/>
          <w:sz w:val="32"/>
        </w:rPr>
        <w:t>Your School Implementation Plan</w:t>
      </w:r>
    </w:p>
    <w:p>
      <w:pPr>
        <w:spacing w:before="60" w:after="120"/>
      </w:pPr>
      <w:r>
        <w:rPr>
          <w:rFonts w:ascii="Arial" w:hAnsi="Arial"/>
          <w:b w:val="0"/>
          <w:i w:val="0"/>
          <w:color w:val="1A1A2E"/>
          <w:sz w:val="22"/>
        </w:rPr>
        <w:t>The following plan is designed for an elementary school launching Teacher Led Rounds across one school year. It is built to connect directly to your co-teaching goals and 21st century learning environment.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872"/>
            <w:shd w:val="clear" w:color="auto" w:fill="00B4A6"/>
            <w:vAlign w:val="center"/>
          </w:tcPr>
          <w:p>
            <w:pPr>
              <w:jc w:val="center"/>
              <w:spacing w:before="80" w:after="20"/>
            </w:pPr>
            <w:r>
              <w:rPr>
                <w:rFonts w:ascii="Arial" w:hAnsi="Arial"/>
                <w:b/>
                <w:color w:val="FFFFFF"/>
                <w:sz w:val="17"/>
              </w:rPr>
              <w:t>August–September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00B4A6"/>
                <w:sz w:val="24"/>
              </w:rPr>
              <w:t>Laying the Foundation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Introduce TLR concept to all staff at opening PD — use the 'What vs. What Not' frame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Form a Rounds Leadership Team (3–5 teachers, 1 instructional coach or AP)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Co-develop Group Norms with staff — teacher buy-in begins here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Select your first Problem of Practice tied to co-teaching or student engagement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Schedule Round #1 — identify willing host classrooms (volunteer, not assigned)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Train the Rounds Leadership Team on the observation protocol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872"/>
            <w:shd w:val="clear" w:color="auto" w:fill="0D2340"/>
            <w:vAlign w:val="center"/>
          </w:tcPr>
          <w:p>
            <w:pPr>
              <w:jc w:val="center"/>
              <w:spacing w:before="80" w:after="20"/>
            </w:pPr>
            <w:r>
              <w:rPr>
                <w:rFonts w:ascii="Arial" w:hAnsi="Arial"/>
                <w:b/>
                <w:color w:val="FFFFFF"/>
                <w:sz w:val="17"/>
              </w:rPr>
              <w:t>October–November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0D2340"/>
                <w:sz w:val="24"/>
              </w:rPr>
              <w:t>First Round Cycle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Conduct Round #1 with Leadership Team as the observer group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Debrief using the Notice / Wonder / Implication protocol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Share findings with whole staff (anonymised, no classroom identifiers)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Reflect: what worked, what to adjust in the protocol or process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Begin inviting a second group of teachers to participate in Round #2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872"/>
            <w:shd w:val="clear" w:color="auto" w:fill="E8624A"/>
            <w:vAlign w:val="center"/>
          </w:tcPr>
          <w:p>
            <w:pPr>
              <w:jc w:val="center"/>
              <w:spacing w:before="80" w:after="20"/>
            </w:pPr>
            <w:r>
              <w:rPr>
                <w:rFonts w:ascii="Arial" w:hAnsi="Arial"/>
                <w:b/>
                <w:color w:val="FFFFFF"/>
                <w:sz w:val="17"/>
              </w:rPr>
              <w:t>December–January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E8624A"/>
                <w:sz w:val="24"/>
              </w:rPr>
              <w:t>Expanding Participation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Conduct Round #2 with a broader observer group (mix veterans + new participants)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Connect Round findings explicitly to co-teaching model choices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Use findings to inform a mid-year PD session on instructional practice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Introduce the 'Host Teacher Reflection' component — builds psychological safety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Survey staff: what is and isn't working about the process?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872"/>
            <w:shd w:val="clear" w:color="auto" w:fill="F5A623"/>
            <w:vAlign w:val="center"/>
          </w:tcPr>
          <w:p>
            <w:pPr>
              <w:jc w:val="center"/>
              <w:spacing w:before="80" w:after="20"/>
            </w:pPr>
            <w:r>
              <w:rPr>
                <w:rFonts w:ascii="Arial" w:hAnsi="Arial"/>
                <w:b/>
                <w:color w:val="FFFFFF"/>
                <w:sz w:val="17"/>
              </w:rPr>
              <w:t>February–March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F5A623"/>
                <w:sz w:val="24"/>
              </w:rPr>
              <w:t>Building Momentum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Conduct Round #3 — aim for at least 50% of staff to have participated by now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If co-teaching is a focus: conduct a dedicated 'co-teaching round' in a flexible learning space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Begin developing teacher-generated Problems of Practice (not just admin-selected)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Document patterns across Round #1–3 in the school's Round Log</w:t>
            </w:r>
          </w:p>
          <w:p>
            <w:pPr>
              <w:spacing w:before="0" w:after="8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872"/>
            <w:shd w:val="clear" w:color="auto" w:fill="9B6DD1"/>
            <w:vAlign w:val="center"/>
          </w:tcPr>
          <w:p>
            <w:pPr>
              <w:jc w:val="center"/>
              <w:spacing w:before="80" w:after="20"/>
            </w:pPr>
            <w:r>
              <w:rPr>
                <w:rFonts w:ascii="Arial" w:hAnsi="Arial"/>
                <w:b/>
                <w:color w:val="FFFFFF"/>
                <w:sz w:val="17"/>
              </w:rPr>
              <w:t>April–May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20"/>
            </w:pPr>
            <w:r>
              <w:rPr>
                <w:rFonts w:ascii="Arial" w:hAnsi="Arial"/>
                <w:b/>
                <w:color w:val="9B6DD1"/>
                <w:sz w:val="24"/>
              </w:rPr>
              <w:t>Sustaining the Cycle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Conduct Round #4 — all staff should have had the option to participate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Hold a 'Rounds Showcase' — share learning with families or district office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Evaluate: did the PoP change over the year? What did we learn?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Plan next year's Rounds calendar — embed in school improvement plan</w:t>
            </w:r>
          </w:p>
          <w:p>
            <w:pPr>
              <w:pStyle w:val="ListBullet"/>
              <w:spacing w:before="20" w:after="20"/>
            </w:pPr>
            <w:r>
              <w:rPr>
                <w:rFonts w:ascii="Arial" w:hAnsi="Arial"/>
                <w:color w:val="1A1A2E"/>
                <w:sz w:val="19"/>
              </w:rPr>
              <w:t>Celebrate the team — name what changed in your culture and practice</w:t>
            </w:r>
          </w:p>
          <w:p>
            <w:pPr>
              <w:spacing w:before="0" w:after="80"/>
            </w:pPr>
          </w:p>
        </w:tc>
      </w:tr>
    </w:tbl>
    <w:p/>
    <w:p>
      <w:pPr>
        <w:spacing w:before="60" w:after="60"/>
        <w:pBdr>
          <w:bottom w:val="single" w:sz="6" w:space="1" w:color="00B4A6"/>
        </w:pBdr>
      </w:pPr>
    </w:p>
    <w:p>
      <w:pPr>
        <w:spacing w:before="200" w:after="120"/>
      </w:pPr>
      <w:r>
        <w:rPr>
          <w:rFonts w:ascii="Arial" w:hAnsi="Arial"/>
          <w:b/>
          <w:color w:val="0D2340"/>
          <w:sz w:val="32"/>
        </w:rPr>
        <w:t>Writing a Strong Problem of Practice</w:t>
      </w:r>
    </w:p>
    <w:p>
      <w:pPr>
        <w:spacing w:before="60" w:after="100"/>
      </w:pPr>
      <w:r>
        <w:rPr>
          <w:rFonts w:ascii="Arial" w:hAnsi="Arial"/>
          <w:b w:val="0"/>
          <w:i w:val="0"/>
          <w:color w:val="1A1A2E"/>
          <w:sz w:val="22"/>
        </w:rPr>
        <w:t>The Problem of Practice (PoP) is the anchor question that focuses every observation and debrief. A weak PoP leads to vague conversations. A strong PoP drives real learning.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E8624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❌  Weak PoP</w:t>
            </w:r>
          </w:p>
        </w:tc>
        <w:tc>
          <w:tcPr>
            <w:tcW w:type="dxa" w:w="4680"/>
            <w:shd w:val="clear" w:color="auto" w:fill="00B4A6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22"/>
              </w:rPr>
              <w:t>✅  Strong PoP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Are teachers doing a good job?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To what extent are students doing the academic talking during co-taught lessons?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How are students engaging?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What types of tasks are students working on, and how do those tasks vary across our co-teaching models?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Is co-teaching working?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When both teachers are visible and active, what evidence do we see of students collaborating with peers?</w:t>
            </w:r>
          </w:p>
        </w:tc>
      </w:tr>
    </w:tbl>
    <w:p/>
    <w:p>
      <w:pPr>
        <w:spacing w:before="60" w:after="60"/>
        <w:pBdr>
          <w:bottom w:val="single" w:sz="6" w:space="1" w:color="00B4A6"/>
        </w:pBdr>
      </w:pPr>
    </w:p>
    <w:p>
      <w:pPr>
        <w:spacing w:before="200" w:after="120"/>
      </w:pPr>
      <w:r>
        <w:rPr>
          <w:rFonts w:ascii="Arial" w:hAnsi="Arial"/>
          <w:b/>
          <w:color w:val="0D2340"/>
          <w:sz w:val="32"/>
        </w:rPr>
        <w:t>Appendix: Protocols &amp; Templates</w:t>
      </w:r>
    </w:p>
    <w:p>
      <w:pPr>
        <w:spacing w:before="120" w:after="60"/>
      </w:pPr>
      <w:r>
        <w:rPr>
          <w:rFonts w:ascii="Arial" w:hAnsi="Arial"/>
          <w:b/>
          <w:color w:val="00B4A6"/>
          <w:sz w:val="26"/>
        </w:rPr>
        <w:t>A. Observation Evidence Form</w:t>
      </w:r>
    </w:p>
    <w:p>
      <w:pPr>
        <w:spacing w:before="0" w:after="80"/>
      </w:pPr>
      <w:r>
        <w:rPr>
          <w:rFonts w:ascii="Arial" w:hAnsi="Arial"/>
          <w:b w:val="0"/>
          <w:i/>
          <w:color w:val="1A1A2E"/>
          <w:sz w:val="20"/>
        </w:rPr>
        <w:t>Use this form during classroom visits. Record only what you SEE and HEAR — no interpretations.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A1A2E"/>
                <w:sz w:val="19"/>
              </w:rPr>
              <w:t>Round Date &amp; Classroom</w:t>
            </w:r>
          </w:p>
        </w:tc>
        <w:tc>
          <w:tcPr>
            <w:tcW w:type="dxa" w:w="4680"/>
          </w:tcPr>
          <w:p>
            <w:pPr>
              <w:spacing w:before="80" w:after="160"/>
            </w:pPr>
            <w:r>
              <w:rPr>
                <w:rFonts w:ascii="Arial" w:hAnsi="Arial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A1A2E"/>
                <w:sz w:val="19"/>
              </w:rPr>
              <w:t>Problem of Practice</w:t>
            </w:r>
          </w:p>
        </w:tc>
        <w:tc>
          <w:tcPr>
            <w:tcW w:type="dxa" w:w="4680"/>
          </w:tcPr>
          <w:p>
            <w:pPr>
              <w:spacing w:before="80" w:after="160"/>
            </w:pPr>
            <w:r>
              <w:rPr>
                <w:rFonts w:ascii="Arial" w:hAnsi="Arial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A1A2E"/>
                <w:sz w:val="19"/>
              </w:rPr>
              <w:t>What are STUDENTS doing? (tasks, talk, movement)</w:t>
            </w:r>
          </w:p>
        </w:tc>
        <w:tc>
          <w:tcPr>
            <w:tcW w:type="dxa" w:w="4680"/>
          </w:tcPr>
          <w:p>
            <w:pPr>
              <w:spacing w:before="80" w:after="160"/>
            </w:pPr>
            <w:r>
              <w:rPr>
                <w:rFonts w:ascii="Arial" w:hAnsi="Arial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A1A2E"/>
                <w:sz w:val="19"/>
              </w:rPr>
              <w:t>What are TEACHERS doing? (positioning, language, role)</w:t>
            </w:r>
          </w:p>
        </w:tc>
        <w:tc>
          <w:tcPr>
            <w:tcW w:type="dxa" w:w="4680"/>
          </w:tcPr>
          <w:p>
            <w:pPr>
              <w:spacing w:before="80" w:after="160"/>
            </w:pPr>
            <w:r>
              <w:rPr>
                <w:rFonts w:ascii="Arial" w:hAnsi="Arial"/>
                <w:sz w:val="19"/>
              </w:rPr>
              <w:t xml:space="preserve"> 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A1A2E"/>
                <w:sz w:val="19"/>
              </w:rPr>
              <w:t>Evidence connected to PoP</w:t>
            </w:r>
          </w:p>
        </w:tc>
        <w:tc>
          <w:tcPr>
            <w:tcW w:type="dxa" w:w="4680"/>
          </w:tcPr>
          <w:p>
            <w:pPr>
              <w:spacing w:before="80" w:after="160"/>
            </w:pPr>
            <w:r>
              <w:rPr>
                <w:rFonts w:ascii="Arial" w:hAnsi="Arial"/>
                <w:sz w:val="19"/>
              </w:rPr>
              <w:t xml:space="preserve"> </w:t>
            </w:r>
          </w:p>
        </w:tc>
      </w:tr>
    </w:tbl>
    <w:p/>
    <w:p>
      <w:pPr>
        <w:spacing w:before="120" w:after="60"/>
      </w:pPr>
      <w:r>
        <w:rPr>
          <w:rFonts w:ascii="Arial" w:hAnsi="Arial"/>
          <w:b/>
          <w:color w:val="00B4A6"/>
          <w:sz w:val="26"/>
        </w:rPr>
        <w:t>B. Notice / Wonder / Implication Debrief Protocol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4680"/>
            <w:shd w:val="clear" w:color="auto" w:fill="0D2340"/>
          </w:tcPr>
          <w:p>
            <w:pPr>
              <w:spacing w:before="60" w:after="60"/>
            </w:pPr>
            <w:r>
              <w:rPr>
                <w:rFonts w:ascii="Arial" w:hAnsi="Arial"/>
                <w:b/>
                <w:color w:val="FFFFFF"/>
                <w:sz w:val="20"/>
              </w:rPr>
              <w:t>Instructions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00B4A6"/>
                <w:sz w:val="19"/>
              </w:rPr>
              <w:t>NOTICE  (15 min)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Each observer shares 2 pieces of evidence — no interpretation. Facilitator records on chart paper. No discussion yet.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00B4A6"/>
                <w:sz w:val="19"/>
              </w:rPr>
              <w:t>WONDER  (15 min)</w:t>
            </w:r>
          </w:p>
        </w:tc>
        <w:tc>
          <w:tcPr>
            <w:tcW w:type="dxa" w:w="468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Group asks 'I wonder why...' or 'I wonder what would happen if...' questions based on the evidence. Still no evaluation.</w:t>
            </w:r>
          </w:p>
        </w:tc>
      </w:tr>
      <w:tr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00B4A6"/>
                <w:sz w:val="19"/>
              </w:rPr>
              <w:t>IMPLICATION  (20 min)</w:t>
            </w:r>
          </w:p>
        </w:tc>
        <w:tc>
          <w:tcPr>
            <w:tcW w:type="dxa" w:w="4680"/>
            <w:shd w:val="clear" w:color="auto" w:fill="F2F4F7"/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19"/>
              </w:rPr>
              <w:t>Group discusses: Given this evidence and our PoP, what are the implications for our teaching? Generate 2–3 actionable next steps.</w:t>
            </w:r>
          </w:p>
        </w:tc>
      </w:tr>
    </w:tbl>
    <w:p/>
    <w:p>
      <w:pPr>
        <w:spacing w:before="120" w:after="60"/>
      </w:pPr>
      <w:r>
        <w:rPr>
          <w:rFonts w:ascii="Arial" w:hAnsi="Arial"/>
          <w:b/>
          <w:color w:val="00B4A6"/>
          <w:sz w:val="26"/>
        </w:rPr>
        <w:t>C. Suggested Group Norms for Rounds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We are here to learn, not to judge.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Our observations are about students — what they are doing, thinking, and saying.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We speak from evidence. We name what we saw, not what we thought about it.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What happens in Rounds stays in Rounds — no report to administrators as evaluation.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We assume positive intent in every classroom we visit.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We honour the host teacher's courage in opening their door.</w:t>
      </w:r>
    </w:p>
    <w:p/>
    <w:p>
      <w:pPr>
        <w:spacing w:before="120" w:after="60"/>
      </w:pPr>
      <w:r>
        <w:rPr>
          <w:rFonts w:ascii="Arial" w:hAnsi="Arial"/>
          <w:b/>
          <w:color w:val="00B4A6"/>
          <w:sz w:val="26"/>
        </w:rPr>
        <w:t>D. School Round Log Template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Round #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Date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Problem of Practice</w:t>
            </w:r>
          </w:p>
        </w:tc>
        <w:tc>
          <w:tcPr>
            <w:tcW w:type="dxa" w:w="2340"/>
            <w:shd w:val="clear" w:color="auto" w:fill="0D2340"/>
          </w:tcPr>
          <w:p>
            <w:pPr>
              <w:spacing w:before="60" w:after="6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Key Implication</w:t>
            </w:r>
          </w:p>
        </w:tc>
      </w:tr>
      <w:tr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FFFFF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2340"/>
            <w:shd w:val="clear" w:color="auto" w:fill="F2F4F7"/>
          </w:tcPr>
          <w:p>
            <w:pPr>
              <w:spacing w:before="80" w:after="80"/>
            </w:pPr>
            <w:r>
              <w:rPr>
                <w:sz w:val="20"/>
              </w:rPr>
              <w:t xml:space="preserve"> </w:t>
            </w:r>
          </w:p>
        </w:tc>
      </w:tr>
    </w:tbl>
    <w:p/>
    <w:p>
      <w:pPr>
        <w:spacing w:before="60" w:after="60"/>
        <w:pBdr>
          <w:bottom w:val="single" w:sz="6" w:space="1" w:color="F5A623"/>
        </w:pBdr>
      </w:pPr>
    </w:p>
    <w:p>
      <w:pPr>
        <w:spacing w:before="80" w:after="60"/>
        <w:jc w:val="center"/>
      </w:pPr>
      <w:r>
        <w:rPr>
          <w:rFonts w:ascii="Arial" w:hAnsi="Arial"/>
          <w:b w:val="0"/>
          <w:i/>
          <w:color w:val="6B7280"/>
          <w:sz w:val="17"/>
        </w:rPr>
        <w:t>Based on City, Elmore, Fiarman &amp; Teitel — Instructional Rounds in Education (2009). Adapted for Teacher-Led implementation in DoDEA 21st Century Elementary Schools.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