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line="160"/>
      </w:pPr>
      <w:r>
        <w:t xml:space="preserve"/>
      </w:r>
    </w:p>
    <w:p>
      <w:pPr>
        <w:spacing w:before="0" w:after="60"/>
      </w:pPr>
      <w:r>
        <w:rPr>
          <w:rFonts w:ascii="Arial" w:cs="Arial" w:eastAsia="Arial" w:hAnsi="Arial"/>
          <w:b/>
          <w:bCs/>
          <w:caps/>
          <w:color w:val="2A1C60"/>
          <w:sz w:val="40"/>
          <w:szCs w:val="40"/>
        </w:rPr>
        <w:t xml:space="preserve">PRINCIPAL TALKING POINTS &amp; FAQ</w:t>
      </w:r>
    </w:p>
    <w:p>
      <w:pPr>
        <w:spacing w:before="0" w:after="80"/>
      </w:pPr>
      <w:r>
        <w:rPr>
          <w:rFonts w:ascii="Arial" w:cs="Arial" w:eastAsia="Arial" w:hAnsi="Arial"/>
          <w:b/>
          <w:bCs/>
          <w:color w:val="3D2A8A"/>
          <w:sz w:val="28"/>
          <w:szCs w:val="28"/>
        </w:rPr>
        <w:t xml:space="preserve">DoWEA Director Transition — Paul Craft</w:t>
      </w:r>
    </w:p>
    <w:p>
      <w:pPr>
        <w:pBdr>
          <w:bottom w:val="single" w:color="F0A500" w:sz="10" w:space="1"/>
        </w:pBdr>
        <w:spacing w:before="60" w:after="60"/>
      </w:pPr>
      <w:r>
        <w:t xml:space="preserve"/>
      </w:r>
    </w:p>
    <w:p>
      <w:pPr>
        <w:spacing w:before="80" w:after="0"/>
      </w:pPr>
      <w:r>
        <w:rPr>
          <w:rFonts w:ascii="Arial" w:cs="Arial" w:eastAsia="Arial" w:hAnsi="Arial"/>
          <w:color w:val="666666"/>
          <w:sz w:val="20"/>
          <w:szCs w:val="20"/>
        </w:rPr>
        <w:t xml:space="preserve">For use in conversations with teachers  |  </w:t>
      </w:r>
      <w:r>
        <w:rPr>
          <w:rFonts w:ascii="Arial" w:cs="Arial" w:eastAsia="Arial" w:hAnsi="Arial"/>
          <w:color w:val="666666"/>
          <w:sz w:val="20"/>
          <w:szCs w:val="20"/>
        </w:rPr>
        <w:t xml:space="preserve">Grafenwoehr Elementary School  |  March 2026</w:t>
      </w:r>
    </w:p>
    <w:p>
      <w:pPr>
        <w:spacing w:before="0" w:after="0" w:lin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0A500" w:sz="4"/>
              <w:left w:val="single" w:color="F0A500" w:sz="12"/>
              <w:bottom w:val="single" w:color="F0A500" w:sz="4"/>
              <w:right w:val="single" w:color="F0A500" w:sz="4"/>
            </w:tcBorders>
            <w:shd w:fill="FFF8E0" w:val="clear"/>
            <w:tcMar>
              <w:top w:type="dxa" w:w="140"/>
              <w:left w:type="dxa" w:w="200"/>
              <w:bottom w:type="dxa" w:w="140"/>
              <w:right w:type="dxa" w:w="160"/>
            </w:tcMar>
          </w:tcPr>
          <w:p>
            <w:pPr>
              <w:spacing w:before="0" w:after="60"/>
            </w:pPr>
            <w:r>
              <w:rPr>
                <w:rFonts w:ascii="Arial" w:cs="Arial" w:eastAsia="Arial" w:hAnsi="Arial"/>
                <w:b/>
                <w:bCs/>
                <w:color w:val="D97706"/>
                <w:sz w:val="22"/>
                <w:szCs w:val="22"/>
              </w:rPr>
              <w:t xml:space="preserve">How to use this document</w:t>
            </w:r>
          </w:p>
          <w:p>
            <w:pPr>
              <w:spacing w:before="0" w:after="0"/>
            </w:pPr>
            <w:r>
              <w:rPr>
                <w:rFonts w:ascii="Arial" w:cs="Arial" w:eastAsia="Arial" w:hAnsi="Arial"/>
                <w:color w:val="1A1730"/>
                <w:sz w:val="22"/>
                <w:szCs w:val="22"/>
              </w:rPr>
              <w:t xml:space="preserve">This document is designed to support one-on-one or small-group conversations with your staff about the DoWEA leadership transition. It is not a script — use it to stay grounded, honest, and consistent across conversations. The talking points section gives you key messages to anchor on. The FAQ section gives you prepared responses to the questions teachers are most likely to ask. Where genuine uncertainty exists, say so — your credibility depends on it.</w:t>
            </w:r>
          </w:p>
        </w:tc>
      </w:tr>
    </w:tbl>
    <w:p>
      <w:pPr>
        <w:spacing w:before="0" w:after="0" w:line="200"/>
      </w:pPr>
      <w:r>
        <w:t xml:space="preserve"/>
      </w:r>
    </w:p>
    <w:p>
      <w:pPr>
        <w:spacing w:before="320" w:after="100"/>
      </w:pPr>
      <w:r>
        <w:rPr>
          <w:rFonts w:ascii="Arial" w:cs="Arial" w:eastAsia="Arial" w:hAnsi="Arial"/>
          <w:b/>
          <w:bCs/>
          <w:color w:val="2A1C60"/>
          <w:sz w:val="32"/>
          <w:szCs w:val="32"/>
        </w:rPr>
        <w:t xml:space="preserve">SECTION 1: Understanding the Transition</w:t>
      </w:r>
    </w:p>
    <w:p>
      <w:pPr>
        <w:pBdr>
          <w:bottom w:val="single" w:color="3D2A8A" w:sz="4" w:space="1"/>
        </w:pBdr>
        <w:spacing w:before="60" w:after="60"/>
      </w:pPr>
      <w:r>
        <w:t xml:space="preserve"/>
      </w:r>
    </w:p>
    <w:p>
      <w:pPr>
        <w:spacing w:before="0" w:after="0" w:line="80"/>
      </w:pPr>
      <w:r>
        <w:t xml:space="preserve"/>
      </w:r>
    </w:p>
    <w:p>
      <w:pPr>
        <w:spacing w:before="0" w:after="120"/>
      </w:pPr>
      <w:r>
        <w:rPr>
          <w:rFonts w:ascii="Arial" w:cs="Arial" w:eastAsia="Arial" w:hAnsi="Arial"/>
          <w:color w:val="1A1730"/>
          <w:sz w:val="22"/>
          <w:szCs w:val="22"/>
        </w:rPr>
        <w:t xml:space="preserve">On February 20, 2026, the Pentagon announced that Paul Craft would succeed Dr. Beth Schiavino-Narvaez as Director of the Department of War Education Activity (DoWEA), effective March 9. Dr. Schiavino-Narvaez learned of her departure in an email hours before the public announcement — an unusually abrupt change that is worth acknowledging honestly with your staff rather than minimizing.</w:t>
      </w:r>
    </w:p>
    <w:p>
      <w:pPr>
        <w:spacing w:before="0" w:after="0" w:line="80"/>
      </w:pPr>
      <w:r>
        <w:t xml:space="preserve"/>
      </w:r>
    </w:p>
    <w:p>
      <w:pPr>
        <w:spacing w:before="0" w:after="120"/>
      </w:pPr>
      <w:r>
        <w:rPr>
          <w:rFonts w:ascii="Arial" w:cs="Arial" w:eastAsia="Arial" w:hAnsi="Arial"/>
          <w:b/>
          <w:bCs/>
          <w:color w:val="1A1730"/>
          <w:sz w:val="22"/>
          <w:szCs w:val="22"/>
        </w:rPr>
        <w:t xml:space="preserve">What we know about Paul Craft: </w:t>
      </w:r>
      <w:r>
        <w:rPr>
          <w:rFonts w:ascii="Arial" w:cs="Arial" w:eastAsia="Arial" w:hAnsi="Arial"/>
          <w:color w:val="1A1730"/>
          <w:sz w:val="22"/>
          <w:szCs w:val="22"/>
        </w:rPr>
        <w:t xml:space="preserve">He is a retired Ohio Army National Guard Colonel with 31 years of military service, a former physics teacher and coach, and served most recently as Ohio's Superintendent of Public Instruction. He has real educational experience and a background that is recognizable to military community schools.</w:t>
      </w:r>
    </w:p>
    <w:p>
      <w:pPr>
        <w:spacing w:before="0" w:after="0" w:line="80"/>
      </w:pPr>
      <w:r>
        <w:t xml:space="preserve"/>
      </w:r>
    </w:p>
    <w:p>
      <w:pPr>
        <w:spacing w:before="0" w:after="120"/>
      </w:pPr>
      <w:r>
        <w:rPr>
          <w:rFonts w:ascii="Arial" w:cs="Arial" w:eastAsia="Arial" w:hAnsi="Arial"/>
          <w:b/>
          <w:bCs/>
          <w:color w:val="1A1730"/>
          <w:sz w:val="22"/>
          <w:szCs w:val="22"/>
        </w:rPr>
        <w:t xml:space="preserve">What we know about the direction: </w:t>
      </w:r>
      <w:r>
        <w:rPr>
          <w:rFonts w:ascii="Arial" w:cs="Arial" w:eastAsia="Arial" w:hAnsi="Arial"/>
          <w:color w:val="1A1730"/>
          <w:sz w:val="22"/>
          <w:szCs w:val="22"/>
        </w:rPr>
        <w:t xml:space="preserve">Defense Secretary Hegseth stated that Craft is "the right leader to swiftly reorient DoWEA towards patriotic values and classical learning, consistent with the Department's focus on merit, standards, and excellence." The four priorities named by the Pentagon are: parental transparency, high expectations for students, superb teachers, and rigorous curriculum.</w:t>
      </w:r>
    </w:p>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A68" w:sz="4"/>
              <w:left w:val="single" w:color="0A7A68" w:sz="12"/>
              <w:bottom w:val="single" w:color="0A7A68" w:sz="4"/>
              <w:right w:val="single" w:color="0A7A68" w:sz="4"/>
            </w:tcBorders>
            <w:shd w:fill="E0F5F1" w:val="clear"/>
            <w:tcMar>
              <w:top w:type="dxa" w:w="140"/>
              <w:left w:type="dxa" w:w="200"/>
              <w:bottom w:type="dxa" w:w="140"/>
              <w:right w:type="dxa" w:w="160"/>
            </w:tcMar>
          </w:tcPr>
          <w:p>
            <w:pPr>
              <w:spacing w:before="0" w:after="60"/>
            </w:pPr>
            <w:r>
              <w:rPr>
                <w:rFonts w:ascii="Arial" w:cs="Arial" w:eastAsia="Arial" w:hAnsi="Arial"/>
                <w:b/>
                <w:bCs/>
                <w:color w:val="0A7A68"/>
                <w:sz w:val="22"/>
                <w:szCs w:val="22"/>
              </w:rPr>
              <w:t xml:space="preserve">Important context for your conversations</w:t>
            </w:r>
          </w:p>
          <w:p>
            <w:pPr>
              <w:spacing w:before="0" w:after="0"/>
            </w:pPr>
            <w:r>
              <w:rPr>
                <w:rFonts w:ascii="Arial" w:cs="Arial" w:eastAsia="Arial" w:hAnsi="Arial"/>
                <w:color w:val="1A1730"/>
                <w:sz w:val="22"/>
                <w:szCs w:val="22"/>
              </w:rPr>
              <w:t xml:space="preserve">DoWEA students have consistently ranked #1 in the nation on NAEP — the nation's report card — including outpacing stateside peers in the most recent 2025 results while national performance declined post-pandemic. This is the track record your teachers helped create. Acknowledge it explicitly. The performance record of this system is both a source of pride and a form of protection.</w:t>
            </w:r>
          </w:p>
        </w:tc>
      </w:tr>
    </w:tbl>
    <w:p>
      <w:pPr>
        <w:spacing w:before="0" w:after="0" w:line="200"/>
      </w:pPr>
      <w:r>
        <w:t xml:space="preserve"/>
      </w:r>
    </w:p>
    <w:p>
      <w:pPr>
        <w:spacing w:before="320" w:after="100"/>
      </w:pPr>
      <w:r>
        <w:rPr>
          <w:rFonts w:ascii="Arial" w:cs="Arial" w:eastAsia="Arial" w:hAnsi="Arial"/>
          <w:b/>
          <w:bCs/>
          <w:color w:val="2A1C60"/>
          <w:sz w:val="32"/>
          <w:szCs w:val="32"/>
        </w:rPr>
        <w:t xml:space="preserve">SECTION 2: Talking Points</w:t>
      </w:r>
    </w:p>
    <w:p>
      <w:pPr>
        <w:pBdr>
          <w:bottom w:val="single" w:color="3D2A8A" w:sz="4" w:space="1"/>
        </w:pBdr>
        <w:spacing w:before="60" w:after="60"/>
      </w:pPr>
      <w:r>
        <w:t xml:space="preserve"/>
      </w:r>
    </w:p>
    <w:p>
      <w:pPr>
        <w:spacing w:before="0" w:after="0" w:line="60"/>
      </w:pPr>
      <w:r>
        <w:t xml:space="preserve"/>
      </w:r>
    </w:p>
    <w:p>
      <w:pPr>
        <w:spacing w:before="0" w:after="160"/>
      </w:pPr>
      <w:r>
        <w:rPr>
          <w:rFonts w:ascii="Arial" w:cs="Arial" w:eastAsia="Arial" w:hAnsi="Arial"/>
          <w:color w:val="1A1730"/>
          <w:sz w:val="22"/>
          <w:szCs w:val="22"/>
        </w:rPr>
        <w:t xml:space="preserve">Use these as your anchoring messages. They are grounded in what is publicly known, honest about uncertainty, and designed to support your staff's professional confidence without minimizing the significance of this moment.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520"/>
        <w:gridCol w:w="8840"/>
      </w:tblGrid>
      <w:tr>
        <w:tc>
          <w:tcPr>
            <w:tcW w:type="dxa" w:w="520"/>
            <w:tcBorders>
              <w:top w:val="none" w:color="FFFFFF" w:sz="0"/>
              <w:left w:val="none" w:color="FFFFFF" w:sz="0"/>
              <w:bottom w:val="none" w:color="FFFFFF" w:sz="0"/>
              <w:right w:val="none" w:color="FFFFFF" w:sz="0"/>
            </w:tcBorders>
            <w:shd w:fill="3D2A8A" w:val="clear"/>
            <w:tcMar>
              <w:top w:type="dxa" w:w="120"/>
              <w:left w:type="dxa" w:w="140"/>
              <w:bottom w:type="dxa" w:w="120"/>
              <w:right w:type="dxa" w:w="140"/>
            </w:tcMar>
            <w:vAlign w:val="top"/>
          </w:tcPr>
          <w:p>
            <w:pPr>
              <w:spacing w:before="0" w:after="0"/>
              <w:jc w:val="center"/>
            </w:pPr>
            <w:r>
              <w:rPr>
                <w:rFonts w:ascii="Arial" w:cs="Arial" w:eastAsia="Arial" w:hAnsi="Arial"/>
                <w:b/>
                <w:bCs/>
                <w:color w:val="F0A500"/>
                <w:sz w:val="24"/>
                <w:szCs w:val="24"/>
              </w:rPr>
              <w:t xml:space="preserve">1</w:t>
            </w:r>
          </w:p>
        </w:tc>
        <w:tc>
          <w:tcPr>
            <w:tcW w:type="dxa" w:w="8840"/>
            <w:tcBorders>
              <w:top w:val="none" w:color="FFFFFF" w:sz="0"/>
              <w:left w:val="none" w:color="FFFFFF" w:sz="0"/>
              <w:bottom w:val="none" w:color="FFFFFF" w:sz="0"/>
              <w:right w:val="none" w:color="FFFFFF" w:sz="0"/>
            </w:tcBorders>
            <w:shd w:fill="F4F3FA" w:val="clear"/>
            <w:tcMar>
              <w:top w:type="dxa" w:w="120"/>
              <w:left w:type="dxa" w:w="180"/>
              <w:bottom w:type="dxa" w:w="60"/>
              <w:right w:type="dxa" w:w="140"/>
            </w:tcMar>
          </w:tcPr>
          <w:p>
            <w:pPr>
              <w:spacing w:before="0" w:after="0"/>
            </w:pPr>
            <w:r>
              <w:rPr>
                <w:rFonts w:ascii="Arial" w:cs="Arial" w:eastAsia="Arial" w:hAnsi="Arial"/>
                <w:b/>
                <w:bCs/>
                <w:color w:val="2A1C60"/>
                <w:sz w:val="23"/>
                <w:szCs w:val="23"/>
              </w:rPr>
              <w:t xml:space="preserve">This is real and worth taking seriously — and we are in a good position to navigate it.</w:t>
            </w:r>
          </w:p>
        </w:tc>
      </w:tr>
      <w:tr>
        <w:tc>
          <w:tcPr>
            <w:tcW w:type="dxa" w:w="520"/>
            <w:tcBorders>
              <w:top w:val="none" w:color="FFFFFF" w:sz="0"/>
              <w:left w:val="none" w:color="FFFFFF" w:sz="0"/>
              <w:bottom w:val="none" w:color="FFFFFF" w:sz="0"/>
              <w:right w:val="none" w:color="FFFFFF" w:sz="0"/>
            </w:tcBorders>
            <w:shd w:fill="3D2A8A" w:val="clear"/>
            <w:tcMar>
              <w:top w:type="dxa" w:w="0"/>
              <w:left w:type="dxa" w:w="0"/>
              <w:bottom w:type="dxa" w:w="120"/>
              <w:right w:type="dxa" w:w="0"/>
            </w:tcMar>
          </w:tcPr>
          <w:p>
            <w:r>
              <w:t xml:space="preserve"/>
            </w:r>
          </w:p>
        </w:tc>
        <w:tc>
          <w:tcPr>
            <w:tcW w:type="dxa" w:w="8840"/>
            <w:tcBorders>
              <w:top w:val="none" w:color="FFFFFF" w:sz="0"/>
              <w:left w:val="none" w:color="FFFFFF" w:sz="0"/>
              <w:bottom w:val="none" w:color="FFFFFF" w:sz="0"/>
              <w:right w:val="none" w:color="FFFFFF" w:sz="0"/>
            </w:tcBorders>
            <w:shd w:fill="F4F3FA" w:val="clear"/>
            <w:tcMar>
              <w:top w:type="dxa" w:w="0"/>
              <w:left w:type="dxa" w:w="180"/>
              <w:bottom w:type="dxa" w:w="120"/>
              <w:right w:type="dxa" w:w="140"/>
            </w:tcMar>
          </w:tcPr>
          <w:p>
            <w:pPr>
              <w:pStyle w:val="ListParagraph"/>
              <w:numPr>
                <w:ilvl w:val="0"/>
                <w:numId w:val="2"/>
              </w:numPr>
              <w:spacing w:before="20" w:after="40"/>
            </w:pPr>
            <w:r>
              <w:rPr>
                <w:rFonts w:ascii="Arial" w:cs="Arial" w:eastAsia="Arial" w:hAnsi="Arial"/>
                <w:color w:val="1A1730"/>
                <w:sz w:val="21"/>
                <w:szCs w:val="21"/>
              </w:rPr>
              <w:t xml:space="preserve">The transition was abrupt and the direction has been named clearly: classical learning, patriotic values, parental transparency.</w:t>
            </w:r>
          </w:p>
          <w:p>
            <w:pPr>
              <w:pStyle w:val="ListParagraph"/>
              <w:numPr>
                <w:ilvl w:val="0"/>
                <w:numId w:val="2"/>
              </w:numPr>
              <w:spacing w:before="20" w:after="40"/>
            </w:pPr>
            <w:r>
              <w:rPr>
                <w:rFonts w:ascii="Arial" w:cs="Arial" w:eastAsia="Arial" w:hAnsi="Arial"/>
                <w:color w:val="1A1730"/>
                <w:sz w:val="21"/>
                <w:szCs w:val="21"/>
              </w:rPr>
              <w:t xml:space="preserve">You don't need to pretend this is routine, and your staff won't believe you if you do.</w:t>
            </w:r>
          </w:p>
          <w:p>
            <w:pPr>
              <w:pStyle w:val="ListParagraph"/>
              <w:numPr>
                <w:ilvl w:val="0"/>
                <w:numId w:val="2"/>
              </w:numPr>
              <w:spacing w:before="20" w:after="40"/>
            </w:pPr>
            <w:r>
              <w:rPr>
                <w:rFonts w:ascii="Arial" w:cs="Arial" w:eastAsia="Arial" w:hAnsi="Arial"/>
                <w:color w:val="1A1730"/>
                <w:sz w:val="21"/>
                <w:szCs w:val="21"/>
              </w:rPr>
              <w:t xml:space="preserve">At the same time, DoWEA's academic performance record is exceptional — and that record is yours.</w:t>
            </w:r>
          </w:p>
        </w:tc>
      </w:tr>
    </w:tbl>
    <w:p>
      <w:pPr>
        <w:spacing w:before="0" w:after="0" w:lin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520"/>
        <w:gridCol w:w="8840"/>
      </w:tblGrid>
      <w:tr>
        <w:tc>
          <w:tcPr>
            <w:tcW w:type="dxa" w:w="520"/>
            <w:tcBorders>
              <w:top w:val="none" w:color="FFFFFF" w:sz="0"/>
              <w:left w:val="none" w:color="FFFFFF" w:sz="0"/>
              <w:bottom w:val="none" w:color="FFFFFF" w:sz="0"/>
              <w:right w:val="none" w:color="FFFFFF" w:sz="0"/>
            </w:tcBorders>
            <w:shd w:fill="3D2A8A" w:val="clear"/>
            <w:tcMar>
              <w:top w:type="dxa" w:w="120"/>
              <w:left w:type="dxa" w:w="140"/>
              <w:bottom w:type="dxa" w:w="120"/>
              <w:right w:type="dxa" w:w="140"/>
            </w:tcMar>
            <w:vAlign w:val="top"/>
          </w:tcPr>
          <w:p>
            <w:pPr>
              <w:spacing w:before="0" w:after="0"/>
              <w:jc w:val="center"/>
            </w:pPr>
            <w:r>
              <w:rPr>
                <w:rFonts w:ascii="Arial" w:cs="Arial" w:eastAsia="Arial" w:hAnsi="Arial"/>
                <w:b/>
                <w:bCs/>
                <w:color w:val="F0A500"/>
                <w:sz w:val="24"/>
                <w:szCs w:val="24"/>
              </w:rPr>
              <w:t xml:space="preserve">2</w:t>
            </w:r>
          </w:p>
        </w:tc>
        <w:tc>
          <w:tcPr>
            <w:tcW w:type="dxa" w:w="8840"/>
            <w:tcBorders>
              <w:top w:val="none" w:color="FFFFFF" w:sz="0"/>
              <w:left w:val="none" w:color="FFFFFF" w:sz="0"/>
              <w:bottom w:val="none" w:color="FFFFFF" w:sz="0"/>
              <w:right w:val="none" w:color="FFFFFF" w:sz="0"/>
            </w:tcBorders>
            <w:shd w:fill="F4F3FA" w:val="clear"/>
            <w:tcMar>
              <w:top w:type="dxa" w:w="120"/>
              <w:left w:type="dxa" w:w="180"/>
              <w:bottom w:type="dxa" w:w="60"/>
              <w:right w:type="dxa" w:w="140"/>
            </w:tcMar>
          </w:tcPr>
          <w:p>
            <w:pPr>
              <w:spacing w:before="0" w:after="0"/>
            </w:pPr>
            <w:r>
              <w:rPr>
                <w:rFonts w:ascii="Arial" w:cs="Arial" w:eastAsia="Arial" w:hAnsi="Arial"/>
                <w:b/>
                <w:bCs/>
                <w:color w:val="2A1C60"/>
                <w:sz w:val="23"/>
                <w:szCs w:val="23"/>
              </w:rPr>
              <w:t xml:space="preserve">The instructional work we've been doing aligns with where this is heading — more than you might expect.</w:t>
            </w:r>
          </w:p>
        </w:tc>
      </w:tr>
      <w:tr>
        <w:tc>
          <w:tcPr>
            <w:tcW w:type="dxa" w:w="520"/>
            <w:tcBorders>
              <w:top w:val="none" w:color="FFFFFF" w:sz="0"/>
              <w:left w:val="none" w:color="FFFFFF" w:sz="0"/>
              <w:bottom w:val="none" w:color="FFFFFF" w:sz="0"/>
              <w:right w:val="none" w:color="FFFFFF" w:sz="0"/>
            </w:tcBorders>
            <w:shd w:fill="3D2A8A" w:val="clear"/>
            <w:tcMar>
              <w:top w:type="dxa" w:w="0"/>
              <w:left w:type="dxa" w:w="0"/>
              <w:bottom w:type="dxa" w:w="120"/>
              <w:right w:type="dxa" w:w="0"/>
            </w:tcMar>
          </w:tcPr>
          <w:p>
            <w:r>
              <w:t xml:space="preserve"/>
            </w:r>
          </w:p>
        </w:tc>
        <w:tc>
          <w:tcPr>
            <w:tcW w:type="dxa" w:w="8840"/>
            <w:tcBorders>
              <w:top w:val="none" w:color="FFFFFF" w:sz="0"/>
              <w:left w:val="none" w:color="FFFFFF" w:sz="0"/>
              <w:bottom w:val="none" w:color="FFFFFF" w:sz="0"/>
              <w:right w:val="none" w:color="FFFFFF" w:sz="0"/>
            </w:tcBorders>
            <w:shd w:fill="F4F3FA" w:val="clear"/>
            <w:tcMar>
              <w:top w:type="dxa" w:w="0"/>
              <w:left w:type="dxa" w:w="180"/>
              <w:bottom w:type="dxa" w:w="120"/>
              <w:right w:type="dxa" w:w="140"/>
            </w:tcMar>
          </w:tcPr>
          <w:p>
            <w:pPr>
              <w:pStyle w:val="ListParagraph"/>
              <w:numPr>
                <w:ilvl w:val="0"/>
                <w:numId w:val="2"/>
              </w:numPr>
              <w:spacing w:before="20" w:after="40"/>
            </w:pPr>
            <w:r>
              <w:rPr>
                <w:rFonts w:ascii="Arial" w:cs="Arial" w:eastAsia="Arial" w:hAnsi="Arial"/>
                <w:color w:val="1A1730"/>
                <w:sz w:val="21"/>
                <w:szCs w:val="21"/>
              </w:rPr>
              <w:t xml:space="preserve">High expectations, rigorous curriculum, strong core instruction, data-informed teaching — these are the exact practices named as priorities.</w:t>
            </w:r>
          </w:p>
          <w:p>
            <w:pPr>
              <w:pStyle w:val="ListParagraph"/>
              <w:numPr>
                <w:ilvl w:val="0"/>
                <w:numId w:val="2"/>
              </w:numPr>
              <w:spacing w:before="20" w:after="40"/>
            </w:pPr>
            <w:r>
              <w:rPr>
                <w:rFonts w:ascii="Arial" w:cs="Arial" w:eastAsia="Arial" w:hAnsi="Arial"/>
                <w:color w:val="1A1730"/>
                <w:sz w:val="21"/>
                <w:szCs w:val="21"/>
              </w:rPr>
              <w:t xml:space="preserve">Our HQIP and CCR professional learning work is directly aligned: standards-based instruction, evidence collection, formative assessment, and student ownership of learning.</w:t>
            </w:r>
          </w:p>
          <w:p>
            <w:pPr>
              <w:pStyle w:val="ListParagraph"/>
              <w:numPr>
                <w:ilvl w:val="0"/>
                <w:numId w:val="2"/>
              </w:numPr>
              <w:spacing w:before="20" w:after="40"/>
            </w:pPr>
            <w:r>
              <w:rPr>
                <w:rFonts w:ascii="Arial" w:cs="Arial" w:eastAsia="Arial" w:hAnsi="Arial"/>
                <w:color w:val="1A1730"/>
                <w:sz w:val="21"/>
                <w:szCs w:val="21"/>
              </w:rPr>
              <w:t xml:space="preserve">Continue leading this work with confidence. Don't wait to be told it's still valid — it is.</w:t>
            </w:r>
          </w:p>
        </w:tc>
      </w:tr>
    </w:tbl>
    <w:p>
      <w:pPr>
        <w:spacing w:before="0" w:after="0" w:lin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520"/>
        <w:gridCol w:w="8840"/>
      </w:tblGrid>
      <w:tr>
        <w:tc>
          <w:tcPr>
            <w:tcW w:type="dxa" w:w="520"/>
            <w:tcBorders>
              <w:top w:val="none" w:color="FFFFFF" w:sz="0"/>
              <w:left w:val="none" w:color="FFFFFF" w:sz="0"/>
              <w:bottom w:val="none" w:color="FFFFFF" w:sz="0"/>
              <w:right w:val="none" w:color="FFFFFF" w:sz="0"/>
            </w:tcBorders>
            <w:shd w:fill="3D2A8A" w:val="clear"/>
            <w:tcMar>
              <w:top w:type="dxa" w:w="120"/>
              <w:left w:type="dxa" w:w="140"/>
              <w:bottom w:type="dxa" w:w="120"/>
              <w:right w:type="dxa" w:w="140"/>
            </w:tcMar>
            <w:vAlign w:val="top"/>
          </w:tcPr>
          <w:p>
            <w:pPr>
              <w:spacing w:before="0" w:after="0"/>
              <w:jc w:val="center"/>
            </w:pPr>
            <w:r>
              <w:rPr>
                <w:rFonts w:ascii="Arial" w:cs="Arial" w:eastAsia="Arial" w:hAnsi="Arial"/>
                <w:b/>
                <w:bCs/>
                <w:color w:val="F0A500"/>
                <w:sz w:val="24"/>
                <w:szCs w:val="24"/>
              </w:rPr>
              <w:t xml:space="preserve">3</w:t>
            </w:r>
          </w:p>
        </w:tc>
        <w:tc>
          <w:tcPr>
            <w:tcW w:type="dxa" w:w="8840"/>
            <w:tcBorders>
              <w:top w:val="none" w:color="FFFFFF" w:sz="0"/>
              <w:left w:val="none" w:color="FFFFFF" w:sz="0"/>
              <w:bottom w:val="none" w:color="FFFFFF" w:sz="0"/>
              <w:right w:val="none" w:color="FFFFFF" w:sz="0"/>
            </w:tcBorders>
            <w:shd w:fill="F4F3FA" w:val="clear"/>
            <w:tcMar>
              <w:top w:type="dxa" w:w="120"/>
              <w:left w:type="dxa" w:w="180"/>
              <w:bottom w:type="dxa" w:w="60"/>
              <w:right w:type="dxa" w:w="140"/>
            </w:tcMar>
          </w:tcPr>
          <w:p>
            <w:pPr>
              <w:spacing w:before="0" w:after="0"/>
            </w:pPr>
            <w:r>
              <w:rPr>
                <w:rFonts w:ascii="Arial" w:cs="Arial" w:eastAsia="Arial" w:hAnsi="Arial"/>
                <w:b/>
                <w:bCs/>
                <w:color w:val="2A1C60"/>
                <w:sz w:val="23"/>
                <w:szCs w:val="23"/>
              </w:rPr>
              <w:t xml:space="preserve">Curriculum changes may be coming — particularly in social studies and literacy content — but we don't have specific guidance yet.</w:t>
            </w:r>
          </w:p>
        </w:tc>
      </w:tr>
      <w:tr>
        <w:tc>
          <w:tcPr>
            <w:tcW w:type="dxa" w:w="520"/>
            <w:tcBorders>
              <w:top w:val="none" w:color="FFFFFF" w:sz="0"/>
              <w:left w:val="none" w:color="FFFFFF" w:sz="0"/>
              <w:bottom w:val="none" w:color="FFFFFF" w:sz="0"/>
              <w:right w:val="none" w:color="FFFFFF" w:sz="0"/>
            </w:tcBorders>
            <w:shd w:fill="3D2A8A" w:val="clear"/>
            <w:tcMar>
              <w:top w:type="dxa" w:w="0"/>
              <w:left w:type="dxa" w:w="0"/>
              <w:bottom w:type="dxa" w:w="120"/>
              <w:right w:type="dxa" w:w="0"/>
            </w:tcMar>
          </w:tcPr>
          <w:p>
            <w:r>
              <w:t xml:space="preserve"/>
            </w:r>
          </w:p>
        </w:tc>
        <w:tc>
          <w:tcPr>
            <w:tcW w:type="dxa" w:w="8840"/>
            <w:tcBorders>
              <w:top w:val="none" w:color="FFFFFF" w:sz="0"/>
              <w:left w:val="none" w:color="FFFFFF" w:sz="0"/>
              <w:bottom w:val="none" w:color="FFFFFF" w:sz="0"/>
              <w:right w:val="none" w:color="FFFFFF" w:sz="0"/>
            </w:tcBorders>
            <w:shd w:fill="F4F3FA" w:val="clear"/>
            <w:tcMar>
              <w:top w:type="dxa" w:w="0"/>
              <w:left w:type="dxa" w:w="180"/>
              <w:bottom w:type="dxa" w:w="120"/>
              <w:right w:type="dxa" w:w="140"/>
            </w:tcMar>
          </w:tcPr>
          <w:p>
            <w:pPr>
              <w:pStyle w:val="ListParagraph"/>
              <w:numPr>
                <w:ilvl w:val="0"/>
                <w:numId w:val="2"/>
              </w:numPr>
              <w:spacing w:before="20" w:after="40"/>
            </w:pPr>
            <w:r>
              <w:rPr>
                <w:rFonts w:ascii="Arial" w:cs="Arial" w:eastAsia="Arial" w:hAnsi="Arial"/>
                <w:color w:val="1A1730"/>
                <w:sz w:val="21"/>
                <w:szCs w:val="21"/>
              </w:rPr>
              <w:t xml:space="preserve">The language of "classical learning" and "core knowledge" points toward a more content-rich, civics- and history-centered approach to social studies and literacy.</w:t>
            </w:r>
          </w:p>
          <w:p>
            <w:pPr>
              <w:pStyle w:val="ListParagraph"/>
              <w:numPr>
                <w:ilvl w:val="0"/>
                <w:numId w:val="2"/>
              </w:numPr>
              <w:spacing w:before="20" w:after="40"/>
            </w:pPr>
            <w:r>
              <w:rPr>
                <w:rFonts w:ascii="Arial" w:cs="Arial" w:eastAsia="Arial" w:hAnsi="Arial"/>
                <w:color w:val="1A1730"/>
                <w:sz w:val="21"/>
                <w:szCs w:val="21"/>
              </w:rPr>
              <w:t xml:space="preserve">Reveal Math and Benchmark Advance are DoWEA-adopted materials — those adoption decisions are made centrally, not at the school level.</w:t>
            </w:r>
          </w:p>
          <w:p>
            <w:pPr>
              <w:pStyle w:val="ListParagraph"/>
              <w:numPr>
                <w:ilvl w:val="0"/>
                <w:numId w:val="2"/>
              </w:numPr>
              <w:spacing w:before="20" w:after="40"/>
            </w:pPr>
            <w:r>
              <w:rPr>
                <w:rFonts w:ascii="Arial" w:cs="Arial" w:eastAsia="Arial" w:hAnsi="Arial"/>
                <w:color w:val="1A1730"/>
                <w:sz w:val="21"/>
                <w:szCs w:val="21"/>
              </w:rPr>
              <w:t xml:space="preserve">Watch for curriculum guidance from the district and region. Do not make speculative changes ahead of official direction.</w:t>
            </w:r>
          </w:p>
        </w:tc>
      </w:tr>
    </w:tbl>
    <w:p>
      <w:pPr>
        <w:spacing w:before="0" w:after="0" w:lin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520"/>
        <w:gridCol w:w="8840"/>
      </w:tblGrid>
      <w:tr>
        <w:tc>
          <w:tcPr>
            <w:tcW w:type="dxa" w:w="520"/>
            <w:tcBorders>
              <w:top w:val="none" w:color="FFFFFF" w:sz="0"/>
              <w:left w:val="none" w:color="FFFFFF" w:sz="0"/>
              <w:bottom w:val="none" w:color="FFFFFF" w:sz="0"/>
              <w:right w:val="none" w:color="FFFFFF" w:sz="0"/>
            </w:tcBorders>
            <w:shd w:fill="3D2A8A" w:val="clear"/>
            <w:tcMar>
              <w:top w:type="dxa" w:w="120"/>
              <w:left w:type="dxa" w:w="140"/>
              <w:bottom w:type="dxa" w:w="120"/>
              <w:right w:type="dxa" w:w="140"/>
            </w:tcMar>
            <w:vAlign w:val="top"/>
          </w:tcPr>
          <w:p>
            <w:pPr>
              <w:spacing w:before="0" w:after="0"/>
              <w:jc w:val="center"/>
            </w:pPr>
            <w:r>
              <w:rPr>
                <w:rFonts w:ascii="Arial" w:cs="Arial" w:eastAsia="Arial" w:hAnsi="Arial"/>
                <w:b/>
                <w:bCs/>
                <w:color w:val="F0A500"/>
                <w:sz w:val="24"/>
                <w:szCs w:val="24"/>
              </w:rPr>
              <w:t xml:space="preserve">4</w:t>
            </w:r>
          </w:p>
        </w:tc>
        <w:tc>
          <w:tcPr>
            <w:tcW w:type="dxa" w:w="8840"/>
            <w:tcBorders>
              <w:top w:val="none" w:color="FFFFFF" w:sz="0"/>
              <w:left w:val="none" w:color="FFFFFF" w:sz="0"/>
              <w:bottom w:val="none" w:color="FFFFFF" w:sz="0"/>
              <w:right w:val="none" w:color="FFFFFF" w:sz="0"/>
            </w:tcBorders>
            <w:shd w:fill="F4F3FA" w:val="clear"/>
            <w:tcMar>
              <w:top w:type="dxa" w:w="120"/>
              <w:left w:type="dxa" w:w="180"/>
              <w:bottom w:type="dxa" w:w="60"/>
              <w:right w:type="dxa" w:w="140"/>
            </w:tcMar>
          </w:tcPr>
          <w:p>
            <w:pPr>
              <w:spacing w:before="0" w:after="0"/>
            </w:pPr>
            <w:r>
              <w:rPr>
                <w:rFonts w:ascii="Arial" w:cs="Arial" w:eastAsia="Arial" w:hAnsi="Arial"/>
                <w:b/>
                <w:bCs/>
                <w:color w:val="2A1C60"/>
                <w:sz w:val="23"/>
                <w:szCs w:val="23"/>
              </w:rPr>
              <w:t xml:space="preserve">"Parental transparency" will likely mean more attention on what and how we teach — be prepared, not defensive.</w:t>
            </w:r>
          </w:p>
        </w:tc>
      </w:tr>
      <w:tr>
        <w:tc>
          <w:tcPr>
            <w:tcW w:type="dxa" w:w="520"/>
            <w:tcBorders>
              <w:top w:val="none" w:color="FFFFFF" w:sz="0"/>
              <w:left w:val="none" w:color="FFFFFF" w:sz="0"/>
              <w:bottom w:val="none" w:color="FFFFFF" w:sz="0"/>
              <w:right w:val="none" w:color="FFFFFF" w:sz="0"/>
            </w:tcBorders>
            <w:shd w:fill="3D2A8A" w:val="clear"/>
            <w:tcMar>
              <w:top w:type="dxa" w:w="0"/>
              <w:left w:type="dxa" w:w="0"/>
              <w:bottom w:type="dxa" w:w="120"/>
              <w:right w:type="dxa" w:w="0"/>
            </w:tcMar>
          </w:tcPr>
          <w:p>
            <w:r>
              <w:t xml:space="preserve"/>
            </w:r>
          </w:p>
        </w:tc>
        <w:tc>
          <w:tcPr>
            <w:tcW w:type="dxa" w:w="8840"/>
            <w:tcBorders>
              <w:top w:val="none" w:color="FFFFFF" w:sz="0"/>
              <w:left w:val="none" w:color="FFFFFF" w:sz="0"/>
              <w:bottom w:val="none" w:color="FFFFFF" w:sz="0"/>
              <w:right w:val="none" w:color="FFFFFF" w:sz="0"/>
            </w:tcBorders>
            <w:shd w:fill="F4F3FA" w:val="clear"/>
            <w:tcMar>
              <w:top w:type="dxa" w:w="0"/>
              <w:left w:type="dxa" w:w="180"/>
              <w:bottom w:type="dxa" w:w="120"/>
              <w:right w:type="dxa" w:w="140"/>
            </w:tcMar>
          </w:tcPr>
          <w:p>
            <w:pPr>
              <w:pStyle w:val="ListParagraph"/>
              <w:numPr>
                <w:ilvl w:val="0"/>
                <w:numId w:val="2"/>
              </w:numPr>
              <w:spacing w:before="20" w:after="40"/>
            </w:pPr>
            <w:r>
              <w:rPr>
                <w:rFonts w:ascii="Arial" w:cs="Arial" w:eastAsia="Arial" w:hAnsi="Arial"/>
                <w:color w:val="1A1730"/>
                <w:sz w:val="21"/>
                <w:szCs w:val="21"/>
              </w:rPr>
              <w:t xml:space="preserve">Families will have more access and potentially more say in reviewing curriculum materials and instructional content.</w:t>
            </w:r>
          </w:p>
          <w:p>
            <w:pPr>
              <w:pStyle w:val="ListParagraph"/>
              <w:numPr>
                <w:ilvl w:val="0"/>
                <w:numId w:val="2"/>
              </w:numPr>
              <w:spacing w:before="20" w:after="40"/>
            </w:pPr>
            <w:r>
              <w:rPr>
                <w:rFonts w:ascii="Arial" w:cs="Arial" w:eastAsia="Arial" w:hAnsi="Arial"/>
                <w:color w:val="1A1730"/>
                <w:sz w:val="21"/>
                <w:szCs w:val="21"/>
              </w:rPr>
              <w:t xml:space="preserve">Our approach has always been to communicate openly with families. That's a strength, not a liability.</w:t>
            </w:r>
          </w:p>
          <w:p>
            <w:pPr>
              <w:pStyle w:val="ListParagraph"/>
              <w:numPr>
                <w:ilvl w:val="0"/>
                <w:numId w:val="2"/>
              </w:numPr>
              <w:spacing w:before="20" w:after="40"/>
            </w:pPr>
            <w:r>
              <w:rPr>
                <w:rFonts w:ascii="Arial" w:cs="Arial" w:eastAsia="Arial" w:hAnsi="Arial"/>
                <w:color w:val="1A1730"/>
                <w:sz w:val="21"/>
                <w:szCs w:val="21"/>
              </w:rPr>
              <w:t xml:space="preserve">If you're asked to review materials or communication practices through a parental transparency lens, approach it as an opportunity to build trust, not as an accusation.</w:t>
            </w:r>
          </w:p>
        </w:tc>
      </w:tr>
    </w:tbl>
    <w:p>
      <w:pPr>
        <w:spacing w:before="0" w:after="0" w:lin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520"/>
        <w:gridCol w:w="8840"/>
      </w:tblGrid>
      <w:tr>
        <w:tc>
          <w:tcPr>
            <w:tcW w:type="dxa" w:w="520"/>
            <w:tcBorders>
              <w:top w:val="none" w:color="FFFFFF" w:sz="0"/>
              <w:left w:val="none" w:color="FFFFFF" w:sz="0"/>
              <w:bottom w:val="none" w:color="FFFFFF" w:sz="0"/>
              <w:right w:val="none" w:color="FFFFFF" w:sz="0"/>
            </w:tcBorders>
            <w:shd w:fill="3D2A8A" w:val="clear"/>
            <w:tcMar>
              <w:top w:type="dxa" w:w="120"/>
              <w:left w:type="dxa" w:w="140"/>
              <w:bottom w:type="dxa" w:w="120"/>
              <w:right w:type="dxa" w:w="140"/>
            </w:tcMar>
            <w:vAlign w:val="top"/>
          </w:tcPr>
          <w:p>
            <w:pPr>
              <w:spacing w:before="0" w:after="0"/>
              <w:jc w:val="center"/>
            </w:pPr>
            <w:r>
              <w:rPr>
                <w:rFonts w:ascii="Arial" w:cs="Arial" w:eastAsia="Arial" w:hAnsi="Arial"/>
                <w:b/>
                <w:bCs/>
                <w:color w:val="F0A500"/>
                <w:sz w:val="24"/>
                <w:szCs w:val="24"/>
              </w:rPr>
              <w:t xml:space="preserve">5</w:t>
            </w:r>
          </w:p>
        </w:tc>
        <w:tc>
          <w:tcPr>
            <w:tcW w:type="dxa" w:w="8840"/>
            <w:tcBorders>
              <w:top w:val="none" w:color="FFFFFF" w:sz="0"/>
              <w:left w:val="none" w:color="FFFFFF" w:sz="0"/>
              <w:bottom w:val="none" w:color="FFFFFF" w:sz="0"/>
              <w:right w:val="none" w:color="FFFFFF" w:sz="0"/>
            </w:tcBorders>
            <w:shd w:fill="F4F3FA" w:val="clear"/>
            <w:tcMar>
              <w:top w:type="dxa" w:w="120"/>
              <w:left w:type="dxa" w:w="180"/>
              <w:bottom w:type="dxa" w:w="60"/>
              <w:right w:type="dxa" w:w="140"/>
            </w:tcMar>
          </w:tcPr>
          <w:p>
            <w:pPr>
              <w:spacing w:before="0" w:after="0"/>
            </w:pPr>
            <w:r>
              <w:rPr>
                <w:rFonts w:ascii="Arial" w:cs="Arial" w:eastAsia="Arial" w:hAnsi="Arial"/>
                <w:b/>
                <w:bCs/>
                <w:color w:val="2A1C60"/>
                <w:sz w:val="23"/>
                <w:szCs w:val="23"/>
              </w:rPr>
              <w:t xml:space="preserve">Some programs and language may shift. Equity, DEI, and social-emotional framing will likely be scrutinized.</w:t>
            </w:r>
          </w:p>
        </w:tc>
      </w:tr>
      <w:tr>
        <w:tc>
          <w:tcPr>
            <w:tcW w:type="dxa" w:w="520"/>
            <w:tcBorders>
              <w:top w:val="none" w:color="FFFFFF" w:sz="0"/>
              <w:left w:val="none" w:color="FFFFFF" w:sz="0"/>
              <w:bottom w:val="none" w:color="FFFFFF" w:sz="0"/>
              <w:right w:val="none" w:color="FFFFFF" w:sz="0"/>
            </w:tcBorders>
            <w:shd w:fill="3D2A8A" w:val="clear"/>
            <w:tcMar>
              <w:top w:type="dxa" w:w="0"/>
              <w:left w:type="dxa" w:w="0"/>
              <w:bottom w:type="dxa" w:w="120"/>
              <w:right w:type="dxa" w:w="0"/>
            </w:tcMar>
          </w:tcPr>
          <w:p>
            <w:r>
              <w:t xml:space="preserve"/>
            </w:r>
          </w:p>
        </w:tc>
        <w:tc>
          <w:tcPr>
            <w:tcW w:type="dxa" w:w="8840"/>
            <w:tcBorders>
              <w:top w:val="none" w:color="FFFFFF" w:sz="0"/>
              <w:left w:val="none" w:color="FFFFFF" w:sz="0"/>
              <w:bottom w:val="none" w:color="FFFFFF" w:sz="0"/>
              <w:right w:val="none" w:color="FFFFFF" w:sz="0"/>
            </w:tcBorders>
            <w:shd w:fill="F4F3FA" w:val="clear"/>
            <w:tcMar>
              <w:top w:type="dxa" w:w="0"/>
              <w:left w:type="dxa" w:w="180"/>
              <w:bottom w:type="dxa" w:w="120"/>
              <w:right w:type="dxa" w:w="140"/>
            </w:tcMar>
          </w:tcPr>
          <w:p>
            <w:pPr>
              <w:pStyle w:val="ListParagraph"/>
              <w:numPr>
                <w:ilvl w:val="0"/>
                <w:numId w:val="2"/>
              </w:numPr>
              <w:spacing w:before="20" w:after="40"/>
            </w:pPr>
            <w:r>
              <w:rPr>
                <w:rFonts w:ascii="Arial" w:cs="Arial" w:eastAsia="Arial" w:hAnsi="Arial"/>
                <w:color w:val="1A1730"/>
                <w:sz w:val="21"/>
                <w:szCs w:val="21"/>
              </w:rPr>
              <w:t xml:space="preserve">Professional development and school-wide communications that use DEI-specific language should be reviewed before the next school year.</w:t>
            </w:r>
          </w:p>
          <w:p>
            <w:pPr>
              <w:pStyle w:val="ListParagraph"/>
              <w:numPr>
                <w:ilvl w:val="0"/>
                <w:numId w:val="2"/>
              </w:numPr>
              <w:spacing w:before="20" w:after="40"/>
            </w:pPr>
            <w:r>
              <w:rPr>
                <w:rFonts w:ascii="Arial" w:cs="Arial" w:eastAsia="Arial" w:hAnsi="Arial"/>
                <w:color w:val="1A1730"/>
                <w:sz w:val="21"/>
                <w:szCs w:val="21"/>
              </w:rPr>
              <w:t xml:space="preserve">The work of supporting all learners, including students with IEPs, MLLs, and students needing behavioral support, continues — but the framing may need to shift.</w:t>
            </w:r>
          </w:p>
          <w:p>
            <w:pPr>
              <w:pStyle w:val="ListParagraph"/>
              <w:numPr>
                <w:ilvl w:val="0"/>
                <w:numId w:val="2"/>
              </w:numPr>
              <w:spacing w:before="20" w:after="40"/>
            </w:pPr>
            <w:r>
              <w:rPr>
                <w:rFonts w:ascii="Arial" w:cs="Arial" w:eastAsia="Arial" w:hAnsi="Arial"/>
                <w:color w:val="1A1730"/>
                <w:sz w:val="21"/>
                <w:szCs w:val="21"/>
              </w:rPr>
              <w:t xml:space="preserve">AAPS, MTSS, and SPED are legally protected programs and remain in place.</w:t>
            </w:r>
          </w:p>
        </w:tc>
      </w:tr>
    </w:tbl>
    <w:p>
      <w:pPr>
        <w:spacing w:before="0" w:after="0" w:lin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520"/>
        <w:gridCol w:w="8840"/>
      </w:tblGrid>
      <w:tr>
        <w:tc>
          <w:tcPr>
            <w:tcW w:type="dxa" w:w="520"/>
            <w:tcBorders>
              <w:top w:val="none" w:color="FFFFFF" w:sz="0"/>
              <w:left w:val="none" w:color="FFFFFF" w:sz="0"/>
              <w:bottom w:val="none" w:color="FFFFFF" w:sz="0"/>
              <w:right w:val="none" w:color="FFFFFF" w:sz="0"/>
            </w:tcBorders>
            <w:shd w:fill="3D2A8A" w:val="clear"/>
            <w:tcMar>
              <w:top w:type="dxa" w:w="120"/>
              <w:left w:type="dxa" w:w="140"/>
              <w:bottom w:type="dxa" w:w="120"/>
              <w:right w:type="dxa" w:w="140"/>
            </w:tcMar>
            <w:vAlign w:val="top"/>
          </w:tcPr>
          <w:p>
            <w:pPr>
              <w:spacing w:before="0" w:after="0"/>
              <w:jc w:val="center"/>
            </w:pPr>
            <w:r>
              <w:rPr>
                <w:rFonts w:ascii="Arial" w:cs="Arial" w:eastAsia="Arial" w:hAnsi="Arial"/>
                <w:b/>
                <w:bCs/>
                <w:color w:val="F0A500"/>
                <w:sz w:val="24"/>
                <w:szCs w:val="24"/>
              </w:rPr>
              <w:t xml:space="preserve">6</w:t>
            </w:r>
          </w:p>
        </w:tc>
        <w:tc>
          <w:tcPr>
            <w:tcW w:type="dxa" w:w="8840"/>
            <w:tcBorders>
              <w:top w:val="none" w:color="FFFFFF" w:sz="0"/>
              <w:left w:val="none" w:color="FFFFFF" w:sz="0"/>
              <w:bottom w:val="none" w:color="FFFFFF" w:sz="0"/>
              <w:right w:val="none" w:color="FFFFFF" w:sz="0"/>
            </w:tcBorders>
            <w:shd w:fill="F4F3FA" w:val="clear"/>
            <w:tcMar>
              <w:top w:type="dxa" w:w="120"/>
              <w:left w:type="dxa" w:w="180"/>
              <w:bottom w:type="dxa" w:w="60"/>
              <w:right w:type="dxa" w:w="140"/>
            </w:tcMar>
          </w:tcPr>
          <w:p>
            <w:pPr>
              <w:spacing w:before="0" w:after="0"/>
            </w:pPr>
            <w:r>
              <w:rPr>
                <w:rFonts w:ascii="Arial" w:cs="Arial" w:eastAsia="Arial" w:hAnsi="Arial"/>
                <w:b/>
                <w:bCs/>
                <w:color w:val="2A1C60"/>
                <w:sz w:val="23"/>
                <w:szCs w:val="23"/>
              </w:rPr>
              <w:t xml:space="preserve">Your job right now is to be a steady, honest presence — not to have all the answers.</w:t>
            </w:r>
          </w:p>
        </w:tc>
      </w:tr>
      <w:tr>
        <w:tc>
          <w:tcPr>
            <w:tcW w:type="dxa" w:w="520"/>
            <w:tcBorders>
              <w:top w:val="none" w:color="FFFFFF" w:sz="0"/>
              <w:left w:val="none" w:color="FFFFFF" w:sz="0"/>
              <w:bottom w:val="none" w:color="FFFFFF" w:sz="0"/>
              <w:right w:val="none" w:color="FFFFFF" w:sz="0"/>
            </w:tcBorders>
            <w:shd w:fill="3D2A8A" w:val="clear"/>
            <w:tcMar>
              <w:top w:type="dxa" w:w="0"/>
              <w:left w:type="dxa" w:w="0"/>
              <w:bottom w:type="dxa" w:w="120"/>
              <w:right w:type="dxa" w:w="0"/>
            </w:tcMar>
          </w:tcPr>
          <w:p>
            <w:r>
              <w:t xml:space="preserve"/>
            </w:r>
          </w:p>
        </w:tc>
        <w:tc>
          <w:tcPr>
            <w:tcW w:type="dxa" w:w="8840"/>
            <w:tcBorders>
              <w:top w:val="none" w:color="FFFFFF" w:sz="0"/>
              <w:left w:val="none" w:color="FFFFFF" w:sz="0"/>
              <w:bottom w:val="none" w:color="FFFFFF" w:sz="0"/>
              <w:right w:val="none" w:color="FFFFFF" w:sz="0"/>
            </w:tcBorders>
            <w:shd w:fill="F4F3FA" w:val="clear"/>
            <w:tcMar>
              <w:top w:type="dxa" w:w="0"/>
              <w:left w:type="dxa" w:w="180"/>
              <w:bottom w:type="dxa" w:w="120"/>
              <w:right w:type="dxa" w:w="140"/>
            </w:tcMar>
          </w:tcPr>
          <w:p>
            <w:pPr>
              <w:pStyle w:val="ListParagraph"/>
              <w:numPr>
                <w:ilvl w:val="0"/>
                <w:numId w:val="2"/>
              </w:numPr>
              <w:spacing w:before="20" w:after="40"/>
            </w:pPr>
            <w:r>
              <w:rPr>
                <w:rFonts w:ascii="Arial" w:cs="Arial" w:eastAsia="Arial" w:hAnsi="Arial"/>
                <w:color w:val="1A1730"/>
                <w:sz w:val="21"/>
                <w:szCs w:val="21"/>
              </w:rPr>
              <w:t xml:space="preserve">Tell your teachers what you know, what you don't know, and when you'll have more.</w:t>
            </w:r>
          </w:p>
          <w:p>
            <w:pPr>
              <w:pStyle w:val="ListParagraph"/>
              <w:numPr>
                <w:ilvl w:val="0"/>
                <w:numId w:val="2"/>
              </w:numPr>
              <w:spacing w:before="20" w:after="40"/>
            </w:pPr>
            <w:r>
              <w:rPr>
                <w:rFonts w:ascii="Arial" w:cs="Arial" w:eastAsia="Arial" w:hAnsi="Arial"/>
                <w:color w:val="1A1730"/>
                <w:sz w:val="21"/>
                <w:szCs w:val="21"/>
              </w:rPr>
              <w:t xml:space="preserve">Validate that the uncertainty is real and that their concerns are legitimate.</w:t>
            </w:r>
          </w:p>
          <w:p>
            <w:pPr>
              <w:pStyle w:val="ListParagraph"/>
              <w:numPr>
                <w:ilvl w:val="0"/>
                <w:numId w:val="2"/>
              </w:numPr>
              <w:spacing w:before="20" w:after="40"/>
            </w:pPr>
            <w:r>
              <w:rPr>
                <w:rFonts w:ascii="Arial" w:cs="Arial" w:eastAsia="Arial" w:hAnsi="Arial"/>
                <w:color w:val="1A1730"/>
                <w:sz w:val="21"/>
                <w:szCs w:val="21"/>
              </w:rPr>
              <w:t xml:space="preserve">Name what isn't changing: your commitment to their professional growth, your support for their classrooms, and GES's standards for student learning.</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4"/>
              <w:left w:val="single" w:color="3D2A8A" w:sz="12"/>
              <w:bottom w:val="single" w:color="3D2A8A" w:sz="4"/>
              <w:right w:val="single" w:color="3D2A8A" w:sz="4"/>
            </w:tcBorders>
            <w:shd w:fill="EDE9FA" w:val="clear"/>
            <w:tcMar>
              <w:top w:type="dxa" w:w="140"/>
              <w:left w:type="dxa" w:w="200"/>
              <w:bottom w:type="dxa" w:w="140"/>
              <w:right w:type="dxa" w:w="160"/>
            </w:tcMar>
          </w:tcPr>
          <w:p>
            <w:pPr>
              <w:spacing w:before="0" w:after="60"/>
            </w:pPr>
            <w:r>
              <w:rPr>
                <w:rFonts w:ascii="Arial" w:cs="Arial" w:eastAsia="Arial" w:hAnsi="Arial"/>
                <w:b/>
                <w:bCs/>
                <w:color w:val="3D2A8A"/>
                <w:sz w:val="22"/>
                <w:szCs w:val="22"/>
              </w:rPr>
              <w:t xml:space="preserve">A sentence to come back to</w:t>
            </w:r>
          </w:p>
          <w:p>
            <w:pPr>
              <w:spacing w:before="0" w:after="0"/>
            </w:pPr>
            <w:r>
              <w:rPr>
                <w:rFonts w:ascii="Arial" w:cs="Arial" w:eastAsia="Arial" w:hAnsi="Arial"/>
                <w:color w:val="1A1730"/>
                <w:sz w:val="22"/>
                <w:szCs w:val="22"/>
              </w:rPr>
              <w:t xml:space="preserve">"I don't have all the answers yet, and I won't pretend otherwise. What I can tell you is that the instructional work we've been doing here is strong, it's the right work, and I will keep you informed as guidance comes down. Your job is to keep showing up for your students — and I'll keep showing up for you."</w:t>
            </w:r>
          </w:p>
        </w:tc>
      </w:tr>
    </w:tbl>
    <w:p>
      <w:pPr>
        <w:spacing w:before="0" w:after="0" w:line="200"/>
      </w:pPr>
      <w:r>
        <w:t xml:space="preserve"/>
      </w:r>
    </w:p>
    <w:p>
      <w:pPr>
        <w:spacing w:before="320" w:after="100"/>
      </w:pPr>
      <w:r>
        <w:rPr>
          <w:rFonts w:ascii="Arial" w:cs="Arial" w:eastAsia="Arial" w:hAnsi="Arial"/>
          <w:b/>
          <w:bCs/>
          <w:color w:val="2A1C60"/>
          <w:sz w:val="32"/>
          <w:szCs w:val="32"/>
        </w:rPr>
        <w:t xml:space="preserve">SECTION 3: Frequently Asked Questions</w:t>
      </w:r>
    </w:p>
    <w:p>
      <w:pPr>
        <w:pBdr>
          <w:bottom w:val="single" w:color="3D2A8A" w:sz="4" w:space="1"/>
        </w:pBdr>
        <w:spacing w:before="60" w:after="60"/>
      </w:pPr>
      <w:r>
        <w:t xml:space="preserve"/>
      </w:r>
    </w:p>
    <w:p>
      <w:pPr>
        <w:spacing w:before="0" w:after="0" w:line="60"/>
      </w:pPr>
      <w:r>
        <w:t xml:space="preserve"/>
      </w:r>
    </w:p>
    <w:p>
      <w:pPr>
        <w:spacing w:before="0" w:after="160"/>
      </w:pPr>
      <w:r>
        <w:rPr>
          <w:rFonts w:ascii="Arial" w:cs="Arial" w:eastAsia="Arial" w:hAnsi="Arial"/>
          <w:color w:val="1A1730"/>
          <w:sz w:val="22"/>
          <w:szCs w:val="22"/>
        </w:rPr>
        <w:t xml:space="preserve">These are the questions your teachers are most likely to ask. Suggested responses are grounded in what is publicly known as of March 2026 and are designed to be honest about the genuine uncertainties that exist.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Why was the director changed so suddenly — and why wasn't there a reason given?</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The short answer is that we don't know. Dr. Schiavino-Narvaez learned of her departure in an email the same day the Pentagon made the announcement. No official reason was given. What we do know is that the change was driven by priorities at the Secretary of Defense level, not by any failure within the agency — in fact, DoWEA's academic results have been exceptional. This was a political and policy decision, not a performance-based one.</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Does this mean our curriculum is going to change?</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80"/>
            </w:pPr>
            <w:r>
              <w:rPr>
                <w:rFonts w:ascii="Arial" w:cs="Arial" w:eastAsia="Arial" w:hAnsi="Arial"/>
                <w:color w:val="1A1730"/>
                <w:sz w:val="22"/>
                <w:szCs w:val="22"/>
              </w:rPr>
              <w:t xml:space="preserve">Potentially, yes — but we don't have specific guidance yet. The direction named is "classical learning" and "core knowledge," which in educational practice typically means a greater emphasis on explicit civics, American history, and classical literature content, particularly at the elementary level.</w:t>
            </w:r>
          </w:p>
          <w:p>
            <w:pPr>
              <w:spacing w:before="0" w:after="0"/>
            </w:pPr>
            <w:r>
              <w:rPr>
                <w:rFonts w:ascii="Arial" w:cs="Arial" w:eastAsia="Arial" w:hAnsi="Arial"/>
                <w:color w:val="1A1730"/>
                <w:sz w:val="22"/>
                <w:szCs w:val="22"/>
              </w:rPr>
              <w:t xml:space="preserve">Curriculum adoption decisions are made at the agency and district level — not at GES. DoWEA's adopted materials for math (Reveal Math) and literacy (Benchmark Advance) are not going away unless there is a central curriculum directive. Continue teaching to your standards and using your adopted materials until we receive specific guidance otherwise.</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Will HQIP and our CCR professional learning continue?</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Our HQIP work — standards-based instruction, intentional planning, assessment for learning, data-driven decision-making — aligns directly with the stated priorities of high expectations, rigorous curriculum, and excellent teaching. There is no indication that this professional learning will be discontinued. The language has changed at the top, but the practices being described map closely to what we've been building. Continue this work with confidence.</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Should I be worried about my job?</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There is no indication of any staffing reductions at the school level. Craft has a background in education and a track record of valuing quality teachers — his framing has consistently emphasized "superb teachers" as a priority. DoWEA's staffing model is also tied to military installation population, not to political direction from leadership. If this changes, I will tell you immediately and directly. Right now, there is nothing to suggest your position is at risk.</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What does "patriotic values" mean in the classroom? Does this affect what I can teach?</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80"/>
            </w:pPr>
            <w:r>
              <w:rPr>
                <w:rFonts w:ascii="Arial" w:cs="Arial" w:eastAsia="Arial" w:hAnsi="Arial"/>
                <w:color w:val="1A1730"/>
                <w:sz w:val="22"/>
                <w:szCs w:val="22"/>
              </w:rPr>
              <w:t xml:space="preserve">This is a legitimate question and an honest one to sit with. In practical terms, it likely means increased emphasis on American history, civics, and foundational documents — the Constitution, Declaration of Independence, and so on. It may also mean scrutiny of how history is framed in social studies curriculum, particularly around topics that have been part of recent national debate.</w:t>
            </w:r>
          </w:p>
          <w:p>
            <w:pPr>
              <w:spacing w:before="0" w:after="0"/>
            </w:pPr>
            <w:r>
              <w:rPr>
                <w:rFonts w:ascii="Arial" w:cs="Arial" w:eastAsia="Arial" w:hAnsi="Arial"/>
                <w:color w:val="1A1730"/>
                <w:sz w:val="22"/>
                <w:szCs w:val="22"/>
              </w:rPr>
              <w:t xml:space="preserve">What it does not mean — based on what we know now — is any restriction on good teaching practice, evidence-based reading instruction, or rigorous math. If specific curricular guidance comes that raises concerns, I want to know about it, and we will address it through proper channels together.</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What is happening with DEI programs and initiatives?</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80"/>
            </w:pPr>
            <w:r>
              <w:rPr>
                <w:rFonts w:ascii="Arial" w:cs="Arial" w:eastAsia="Arial" w:hAnsi="Arial"/>
                <w:color w:val="1A1730"/>
                <w:sz w:val="22"/>
                <w:szCs w:val="22"/>
              </w:rPr>
              <w:t xml:space="preserve">I will be direct: DEI-specific programming and language is under scrutiny across the entire federal government, including DoWEA. This does not mean the work of supporting all learners stops — it means that framing matters, and we should expect that some programs may be renamed, restructured, or removed.</w:t>
            </w:r>
          </w:p>
          <w:p>
            <w:pPr>
              <w:spacing w:before="0" w:after="0"/>
            </w:pPr>
            <w:r>
              <w:rPr>
                <w:rFonts w:ascii="Arial" w:cs="Arial" w:eastAsia="Arial" w:hAnsi="Arial"/>
                <w:color w:val="1A1730"/>
                <w:sz w:val="22"/>
                <w:szCs w:val="22"/>
              </w:rPr>
              <w:t xml:space="preserve">Legally protected programs — SPED, MLP, MTSS, 504 accommodations, ELL supports — are not affected by political direction. Our commitment to every student in this building does not change. I will be transparent with you when specific guidance comes down that requires us to make changes.</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What does "parental transparency" mean for my classroom?</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It means families will likely have greater access to and visibility into what is being taught, and potentially greater ability to raise concerns or opt students out of specific content. In practice, this means keeping your lesson materials organized and accessible, being prepared to explain your instructional choices, and communicating proactively with families about what is coming up in your curriculum. Good teachers already do all of this. It is not something to fear — it is something to be prepared for.</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What should I do if a parent challenges something I'm teaching?</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Bring it to me first before responding to the family directly on anything with policy implications. Document the concern in writing. Speak to your instructional choices calmly and professionally — you are using DoWEA-adopted materials and teaching to DoWEA standards. I will support you and, if needed, engage the district. You are not navigating this alone.</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What about the agency's name change to DoWEA?</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The name "Department of War Education Activity" (DoWEA) is the new official designation, reflecting the broader renaming of the Department of Defense to the Department of War. This is real and official — it will show up in your paperwork, official communications, and eventually signage. It does not change anything about how we operate, what we teach, or who we serve.</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What happens to the K-5 Performance Reporting work we've been doing?</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The shift to K-5 Performance Reports (launching SY 2027-28) is a DoDEA agency-level initiative that predates the leadership change and is tied to our CCRS implementation. There has been no indication it is being reconsidered. The emphasis on high expectations, rigorous curriculum, and clear standards-based reporting aligns with — not against — that work. We continue building toward it.</w:t>
            </w:r>
          </w:p>
        </w:tc>
      </w:tr>
    </w:tbl>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F0A500" w:sz="12"/>
              <w:bottom w:val="none" w:color="FFFFFF" w:sz="0"/>
              <w:right w:val="none" w:color="FFFFFF" w:sz="0"/>
            </w:tcBorders>
            <w:shd w:fill="EDE9FA" w:val="clear"/>
            <w:tcMar>
              <w:top w:type="dxa" w:w="100"/>
              <w:left w:type="dxa" w:w="200"/>
              <w:bottom w:type="dxa" w:w="60"/>
              <w:right w:type="dxa" w:w="160"/>
            </w:tcMar>
          </w:tcPr>
          <w:p>
            <w:pPr>
              <w:spacing w:before="0" w:after="0"/>
            </w:pPr>
            <w:r>
              <w:rPr>
                <w:rFonts w:ascii="Arial" w:cs="Arial" w:eastAsia="Arial" w:hAnsi="Arial"/>
                <w:b/>
                <w:bCs/>
                <w:color w:val="2A1C60"/>
                <w:sz w:val="22"/>
                <w:szCs w:val="22"/>
              </w:rPr>
              <w:t xml:space="preserve">How will you keep us informed as things develop?</w:t>
            </w:r>
          </w:p>
        </w:tc>
      </w:tr>
      <w:tr>
        <w:tc>
          <w:tcPr>
            <w:tcW w:type="dxa" w:w="9360"/>
            <w:tcBorders>
              <w:top w:val="none" w:color="FFFFFF" w:sz="0"/>
              <w:left w:val="single" w:color="F0A500" w:sz="12"/>
              <w:bottom w:val="single" w:color="CCCCCC" w:sz="1"/>
              <w:right w:val="none" w:color="FFFFFF" w:sz="0"/>
            </w:tcBorders>
            <w:shd w:fill="FFFFFF" w:val="clear"/>
            <w:tcMar>
              <w:top w:type="dxa" w:w="80"/>
              <w:left w:type="dxa" w:w="200"/>
              <w:bottom w:type="dxa" w:w="120"/>
              <w:right w:type="dxa" w:w="160"/>
            </w:tcMar>
          </w:tcPr>
          <w:p>
            <w:pPr>
              <w:spacing w:before="0" w:after="0"/>
            </w:pPr>
            <w:r>
              <w:rPr>
                <w:rFonts w:ascii="Arial" w:cs="Arial" w:eastAsia="Arial" w:hAnsi="Arial"/>
                <w:color w:val="1A1730"/>
                <w:sz w:val="22"/>
                <w:szCs w:val="22"/>
              </w:rPr>
              <w:t xml:space="preserve">I will share what I know when I know it — through staff meetings, direct conversations, and written updates as appropriate. I will not wait until I have the full picture if something significant comes down. You deserve to hear things from me first, directly, and honestly — not through rumors or news articles. If you see or hear something that concerns you, come to me. I will always give you my honest read.</w:t>
            </w:r>
          </w:p>
        </w:tc>
      </w:tr>
    </w:tbl>
    <w:p>
      <w:pPr>
        <w:spacing w:before="0" w:after="0" w:line="200"/>
      </w:pPr>
      <w:r>
        <w:t xml:space="preserve"/>
      </w:r>
    </w:p>
    <w:p>
      <w:pPr>
        <w:spacing w:before="320" w:after="100"/>
      </w:pPr>
      <w:r>
        <w:rPr>
          <w:rFonts w:ascii="Arial" w:cs="Arial" w:eastAsia="Arial" w:hAnsi="Arial"/>
          <w:b/>
          <w:bCs/>
          <w:color w:val="2A1C60"/>
          <w:sz w:val="32"/>
          <w:szCs w:val="32"/>
        </w:rPr>
        <w:t xml:space="preserve">SECTION 4: What Does Not Change</w:t>
      </w:r>
    </w:p>
    <w:p>
      <w:pPr>
        <w:pBdr>
          <w:bottom w:val="single" w:color="3D2A8A" w:sz="4" w:space="1"/>
        </w:pBdr>
        <w:spacing w:before="60" w:after="60"/>
      </w:pPr>
      <w:r>
        <w:t xml:space="preserve"/>
      </w:r>
    </w:p>
    <w:p>
      <w:pPr>
        <w:spacing w:before="0" w:after="0" w:line="80"/>
      </w:pPr>
      <w:r>
        <w:t xml:space="preserve"/>
      </w:r>
    </w:p>
    <w:p>
      <w:pPr>
        <w:spacing w:before="0" w:after="120"/>
      </w:pPr>
      <w:r>
        <w:rPr>
          <w:rFonts w:ascii="Arial" w:cs="Arial" w:eastAsia="Arial" w:hAnsi="Arial"/>
          <w:color w:val="1A1730"/>
          <w:sz w:val="22"/>
          <w:szCs w:val="22"/>
        </w:rPr>
        <w:t xml:space="preserve">In times of uncertainty, naming what is stable is as important as acknowledging what is shifting. These are the anchors to return to in your conversations:</w:t>
      </w:r>
    </w:p>
    <w:p>
      <w:pPr>
        <w:pStyle w:val="ListParagraph"/>
        <w:numPr>
          <w:ilvl w:val="0"/>
          <w:numId w:val="3"/>
        </w:numPr>
        <w:spacing w:before="40" w:after="60"/>
      </w:pPr>
      <w:r>
        <w:rPr>
          <w:rFonts w:ascii="Arial" w:cs="Arial" w:eastAsia="Arial" w:hAnsi="Arial"/>
          <w:b w:val="false"/>
          <w:bCs w:val="false"/>
          <w:color w:val="1A1730"/>
          <w:sz w:val="22"/>
          <w:szCs w:val="22"/>
        </w:rPr>
        <w:t xml:space="preserve">Your commitment to every student at GES — that is school-level, not agency-level.</w:t>
      </w:r>
    </w:p>
    <w:p>
      <w:pPr>
        <w:pStyle w:val="ListParagraph"/>
        <w:numPr>
          <w:ilvl w:val="0"/>
          <w:numId w:val="3"/>
        </w:numPr>
        <w:spacing w:before="40" w:after="60"/>
      </w:pPr>
      <w:r>
        <w:rPr>
          <w:rFonts w:ascii="Arial" w:cs="Arial" w:eastAsia="Arial" w:hAnsi="Arial"/>
          <w:b w:val="false"/>
          <w:bCs w:val="false"/>
          <w:color w:val="1A1730"/>
          <w:sz w:val="22"/>
          <w:szCs w:val="22"/>
        </w:rPr>
        <w:t xml:space="preserve">Our adopted instructional materials: Reveal Math and Benchmark Advance remain in use.</w:t>
      </w:r>
    </w:p>
    <w:p>
      <w:pPr>
        <w:pStyle w:val="ListParagraph"/>
        <w:numPr>
          <w:ilvl w:val="0"/>
          <w:numId w:val="3"/>
        </w:numPr>
        <w:spacing w:before="40" w:after="60"/>
      </w:pPr>
      <w:r>
        <w:rPr>
          <w:rFonts w:ascii="Arial" w:cs="Arial" w:eastAsia="Arial" w:hAnsi="Arial"/>
          <w:b w:val="false"/>
          <w:bCs w:val="false"/>
          <w:color w:val="1A1730"/>
          <w:sz w:val="22"/>
          <w:szCs w:val="22"/>
        </w:rPr>
        <w:t xml:space="preserve">Our HQIP professional learning work — standards-based instruction, formative assessment, intentional planning, FC meeting structures.</w:t>
      </w:r>
    </w:p>
    <w:p>
      <w:pPr>
        <w:pStyle w:val="ListParagraph"/>
        <w:numPr>
          <w:ilvl w:val="0"/>
          <w:numId w:val="3"/>
        </w:numPr>
        <w:spacing w:before="40" w:after="60"/>
      </w:pPr>
      <w:r>
        <w:rPr>
          <w:rFonts w:ascii="Arial" w:cs="Arial" w:eastAsia="Arial" w:hAnsi="Arial"/>
          <w:b w:val="false"/>
          <w:bCs w:val="false"/>
          <w:color w:val="1A1730"/>
          <w:sz w:val="22"/>
          <w:szCs w:val="22"/>
        </w:rPr>
        <w:t xml:space="preserve">SPED, MTSS, 504, MLP, AAPS — all legally protected programs that continue.</w:t>
      </w:r>
    </w:p>
    <w:p>
      <w:pPr>
        <w:pStyle w:val="ListParagraph"/>
        <w:numPr>
          <w:ilvl w:val="0"/>
          <w:numId w:val="3"/>
        </w:numPr>
        <w:spacing w:before="40" w:after="60"/>
      </w:pPr>
      <w:r>
        <w:rPr>
          <w:rFonts w:ascii="Arial" w:cs="Arial" w:eastAsia="Arial" w:hAnsi="Arial"/>
          <w:b w:val="false"/>
          <w:bCs w:val="false"/>
          <w:color w:val="1A1730"/>
          <w:sz w:val="22"/>
          <w:szCs w:val="22"/>
        </w:rPr>
        <w:t xml:space="preserve">DoWEA's student performance record, which is the strongest in the country and belongs to this school system.</w:t>
      </w:r>
    </w:p>
    <w:p>
      <w:pPr>
        <w:pStyle w:val="ListParagraph"/>
        <w:numPr>
          <w:ilvl w:val="0"/>
          <w:numId w:val="3"/>
        </w:numPr>
        <w:spacing w:before="40" w:after="60"/>
      </w:pPr>
      <w:r>
        <w:rPr>
          <w:rFonts w:ascii="Arial" w:cs="Arial" w:eastAsia="Arial" w:hAnsi="Arial"/>
          <w:b w:val="false"/>
          <w:bCs w:val="false"/>
          <w:color w:val="1A1730"/>
          <w:sz w:val="22"/>
          <w:szCs w:val="22"/>
        </w:rPr>
        <w:t xml:space="preserve">GES's commitment to family partnership and transparent communication.</w:t>
      </w:r>
    </w:p>
    <w:p>
      <w:pPr>
        <w:pStyle w:val="ListParagraph"/>
        <w:numPr>
          <w:ilvl w:val="0"/>
          <w:numId w:val="3"/>
        </w:numPr>
        <w:spacing w:before="40" w:after="60"/>
      </w:pPr>
      <w:r>
        <w:rPr>
          <w:rFonts w:ascii="Arial" w:cs="Arial" w:eastAsia="Arial" w:hAnsi="Arial"/>
          <w:b w:val="false"/>
          <w:bCs w:val="false"/>
          <w:color w:val="1A1730"/>
          <w:sz w:val="22"/>
          <w:szCs w:val="22"/>
        </w:rPr>
        <w:t xml:space="preserve">The Military Interstate Compact (MIC3) protections for our military-connected students during PCS transitions.</w:t>
      </w:r>
    </w:p>
    <w:p>
      <w:pPr>
        <w:spacing w:before="0" w:after="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0A500" w:sz="4"/>
              <w:left w:val="single" w:color="F0A500" w:sz="12"/>
              <w:bottom w:val="single" w:color="F0A500" w:sz="4"/>
              <w:right w:val="single" w:color="F0A500" w:sz="4"/>
            </w:tcBorders>
            <w:shd w:fill="FFF8E0" w:val="clear"/>
            <w:tcMar>
              <w:top w:type="dxa" w:w="140"/>
              <w:left w:type="dxa" w:w="200"/>
              <w:bottom w:type="dxa" w:w="140"/>
              <w:right w:type="dxa" w:w="160"/>
            </w:tcMar>
          </w:tcPr>
          <w:p>
            <w:pPr>
              <w:spacing w:before="0" w:after="60"/>
            </w:pPr>
            <w:r>
              <w:rPr>
                <w:rFonts w:ascii="Arial" w:cs="Arial" w:eastAsia="Arial" w:hAnsi="Arial"/>
                <w:b/>
                <w:bCs/>
                <w:color w:val="D97706"/>
                <w:sz w:val="22"/>
                <w:szCs w:val="22"/>
              </w:rPr>
              <w:t xml:space="preserve">A final note for you as a leader</w:t>
            </w:r>
          </w:p>
          <w:p>
            <w:pPr>
              <w:spacing w:before="0" w:after="0"/>
            </w:pPr>
            <w:r>
              <w:rPr>
                <w:rFonts w:ascii="Arial" w:cs="Arial" w:eastAsia="Arial" w:hAnsi="Arial"/>
                <w:color w:val="1A1730"/>
                <w:sz w:val="22"/>
                <w:szCs w:val="22"/>
              </w:rPr>
              <w:t xml:space="preserve">Your teachers are watching how you carry this moment. They don't need you to have all the answers — they need to know you are paying attention, being honest with them, and standing between the noise and their classrooms. That is the job. You are good at it.</w:t>
            </w:r>
          </w:p>
        </w:tc>
      </w:tr>
    </w:tbl>
    <w:p>
      <w:pPr>
        <w:spacing w:before="0" w:after="0" w:line="80"/>
      </w:pPr>
      <w:r>
        <w:t xml:space="preserve"/>
      </w:r>
    </w:p>
    <w:p>
      <w:pPr>
        <w:spacing w:before="0" w:after="0"/>
      </w:pPr>
      <w:r>
        <w:rPr>
          <w:rFonts w:ascii="Arial" w:cs="Arial" w:eastAsia="Arial" w:hAnsi="Arial"/>
          <w:i/>
          <w:iCs/>
          <w:color w:val="888888"/>
          <w:sz w:val="18"/>
          <w:szCs w:val="18"/>
        </w:rPr>
        <w:t xml:space="preserve">Grafenwoehr Elementary School  |  Tower Barracks, Bavaria, Germany  |  DoDEA Europe East  |  March 2026</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720"/>
      <w:gridCol w:w="3000"/>
    </w:tblGrid>
    <w:tr>
      <w:tc>
        <w:tcPr>
          <w:tcW w:type="dxa" w:w="6720"/>
          <w:tcBorders>
            <w:top w:val="single" w:color="CCCCCC" w:sz="4" w:space="1"/>
            <w:left w:val="none" w:color="FFFFFF" w:sz="0"/>
            <w:bottom w:val="none" w:color="FFFFFF" w:sz="0"/>
            <w:right w:val="none" w:color="FFFFFF" w:sz="0"/>
          </w:tcBorders>
          <w:tcMar>
            <w:top w:type="dxa" w:w="80"/>
            <w:left w:type="dxa" w:w="0"/>
            <w:bottom w:type="dxa" w:w="0"/>
            <w:right w:type="dxa" w:w="0"/>
          </w:tcMar>
        </w:tcPr>
        <w:p>
          <w:pPr>
            <w:spacing w:before="0" w:after="0"/>
          </w:pPr>
          <w:r>
            <w:rPr>
              <w:rFonts w:ascii="Arial" w:cs="Arial" w:eastAsia="Arial" w:hAnsi="Arial"/>
              <w:i/>
              <w:iCs/>
              <w:color w:val="888888"/>
              <w:sz w:val="16"/>
              <w:szCs w:val="16"/>
            </w:rPr>
            <w:t xml:space="preserve">For internal school use only — not for distribution</w:t>
          </w:r>
        </w:p>
      </w:tc>
      <w:tc>
        <w:tcPr>
          <w:tcW w:type="dxa" w:w="3000"/>
          <w:tcBorders>
            <w:top w:val="single" w:color="CCCCCC" w:sz="4" w:space="1"/>
            <w:left w:val="none" w:color="FFFFFF" w:sz="0"/>
            <w:bottom w:val="none" w:color="FFFFFF" w:sz="0"/>
            <w:right w:val="none" w:color="FFFFFF" w:sz="0"/>
          </w:tcBorders>
          <w:tcMar>
            <w:top w:type="dxa" w:w="80"/>
            <w:left w:type="dxa" w:w="0"/>
            <w:bottom w:type="dxa" w:w="0"/>
            <w:right w:type="dxa" w:w="0"/>
          </w:tcMar>
        </w:tcPr>
        <w:p>
          <w:pPr>
            <w:spacing w:before="0" w:after="0"/>
            <w:jc w:val="right"/>
          </w:pPr>
          <w:r>
            <w:rPr>
              <w:rFonts w:ascii="Arial" w:cs="Arial" w:eastAsia="Arial" w:hAnsi="Arial"/>
              <w:i/>
              <w:iCs/>
              <w:color w:val="888888"/>
              <w:sz w:val="16"/>
              <w:szCs w:val="16"/>
            </w:rPr>
            <w:t xml:space="preserve">Confidential — For internal use</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720"/>
      <w:gridCol w:w="3000"/>
    </w:tblGrid>
    <w:tr>
      <w:tc>
        <w:tcPr>
          <w:tcW w:type="dxa" w:w="6720"/>
          <w:tcBorders>
            <w:top w:val="none" w:color="FFFFFF" w:sz="0"/>
            <w:left w:val="none" w:color="FFFFFF" w:sz="0"/>
            <w:bottom w:val="single" w:color="3D2A8A" w:sz="6" w:space="1"/>
            <w:right w:val="none" w:color="FFFFFF" w:sz="0"/>
          </w:tcBorders>
          <w:tcMar>
            <w:top w:type="dxa" w:w="0"/>
            <w:left w:type="dxa" w:w="0"/>
            <w:bottom w:type="dxa" w:w="100"/>
            <w:right w:type="dxa" w:w="0"/>
          </w:tcMar>
          <w:vAlign w:val="bottom"/>
        </w:tcPr>
        <w:p>
          <w:pPr>
            <w:spacing w:before="0" w:after="0"/>
          </w:pPr>
          <w:r>
            <w:rPr>
              <w:rFonts w:ascii="Arial" w:cs="Arial" w:eastAsia="Arial" w:hAnsi="Arial"/>
              <w:b/>
              <w:bCs/>
              <w:color w:val="3D2A8A"/>
              <w:sz w:val="18"/>
              <w:szCs w:val="18"/>
            </w:rPr>
            <w:t xml:space="preserve">GES Grizzlies — Principal Reference Document</w:t>
          </w:r>
        </w:p>
      </w:tc>
      <w:tc>
        <w:tcPr>
          <w:tcW w:type="dxa" w:w="3000"/>
          <w:tcBorders>
            <w:top w:val="none" w:color="FFFFFF" w:sz="0"/>
            <w:left w:val="none" w:color="FFFFFF" w:sz="0"/>
            <w:bottom w:val="single" w:color="3D2A8A" w:sz="6" w:space="1"/>
            <w:right w:val="none" w:color="FFFFFF" w:sz="0"/>
          </w:tcBorders>
          <w:tcMar>
            <w:top w:type="dxa" w:w="0"/>
            <w:left w:type="dxa" w:w="0"/>
            <w:bottom w:type="dxa" w:w="100"/>
            <w:right w:type="dxa" w:w="0"/>
          </w:tcMar>
          <w:vAlign w:val="bottom"/>
        </w:tcPr>
        <w:p>
          <w:pPr>
            <w:spacing w:before="0" w:after="0"/>
            <w:jc w:val="right"/>
          </w:pPr>
          <w:r>
            <w:rPr>
              <w:rFonts w:ascii="Arial" w:cs="Arial" w:eastAsia="Arial" w:hAnsi="Arial"/>
              <w:color w:val="3D2A8A"/>
              <w:sz w:val="18"/>
              <w:szCs w:val="18"/>
            </w:rPr>
            <w:t xml:space="preserve">DoWEA Leadership Transition  |  March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36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73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2026-03-21T05:35:20.049Z</dcterms:created>
  <dcterms:modified xsi:type="dcterms:W3CDTF">2026-03-21T05:35:20.050Z</dcterms:modified>
</cp:coreProperties>
</file>

<file path=docProps/custom.xml><?xml version="1.0" encoding="utf-8"?>
<Properties xmlns="http://schemas.openxmlformats.org/officeDocument/2006/custom-properties" xmlns:vt="http://schemas.openxmlformats.org/officeDocument/2006/docPropsVTypes"/>
</file>