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1B3A5C"/>
          <w:sz w:val="48"/>
          <w:szCs w:val="48"/>
        </w:rPr>
        <w:t xml:space="preserve">MTSS &amp; SST Training Activity</w:t>
      </w:r>
    </w:p>
    <w:p>
      <w:pPr>
        <w:spacing w:before="0" w:after="60"/>
      </w:pPr>
      <w:r>
        <w:rPr>
          <w:rFonts w:ascii="Arial" w:cs="Arial" w:eastAsia="Arial" w:hAnsi="Arial"/>
          <w:color w:val="0D7377"/>
          <w:sz w:val="24"/>
          <w:szCs w:val="24"/>
        </w:rPr>
        <w:t xml:space="preserve">For Teachers  ·  DoDEA SY 2025-26</w:t>
      </w:r>
    </w:p>
    <w:p>
      <w:pPr>
        <w:pBdr>
          <w:left w:val="single" w:color="0D7377" w:sz="12"/>
        </w:pBdr>
        <w:shd w:fill="E8F5F5" w:val="clear"/>
        <w:spacing w:before="100" w:after="160"/>
        <w:ind w:left="120" w:right="120"/>
      </w:pPr>
      <w:r>
        <w:rPr>
          <w:rFonts w:ascii="Arial" w:cs="Arial" w:eastAsia="Arial" w:hAnsi="Arial"/>
          <w:i/>
          <w:iCs/>
          <w:color w:val="1A2332"/>
          <w:sz w:val="20"/>
          <w:szCs w:val="20"/>
        </w:rPr>
        <w:t xml:space="preserve">How to use this worksheet: Work through each activity independently, then discuss with your table group. This is a learning tool — there are no wrong answers, but there IS a goal: to leave with a clear understanding of what MTSS and SST mean for you in your classroom.</w:t>
      </w:r>
    </w:p>
    <w:p>
      <w:pPr>
        <w:pBdr>
          <w:bottom w:val="single" w:color="0D7377" w:sz="4"/>
        </w:pBdr>
        <w:spacing w:before="280" w:after="10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Activity 1: Where Are We Now?  (5 minutes — individual)</w:t>
      </w: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Rate your current understanding by circling or marking the number that best reflects where you are right now. Be honest — this is just for you!</w:t>
      </w:r>
    </w:p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440"/>
        <w:gridCol w:w="1440"/>
        <w:gridCol w:w="1440"/>
        <w:gridCol w:w="86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Statement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737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
Not Sure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88888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
Somewhat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
Got It!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9E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?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can explain what MTSS is to a parent or colleague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9E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understand the difference between Tier 1, 2, and 3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know what MY responsibilities are in MTSS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9E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understand when and how to refer a student to the SST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know what happens after I refer a student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9E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I know how the SST works with other programs (SPED, 504, AAPS)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8"/>
                <w:szCs w:val="28"/>
              </w:rPr>
              <w:t xml:space="preserve">1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2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3</w:t>
            </w:r>
          </w:p>
        </w:tc>
        <w:tc>
          <w:tcPr>
            <w:tcW w:type="dxa" w:w="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C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The '?' column: Write any questions you want answered before the end of this training.</w:t>
      </w:r>
    </w:p>
    <w:p>
      <w:pPr>
        <w:spacing w:before="80"/>
      </w:pPr>
    </w:p>
    <w:p>
      <w:pPr>
        <w:pBdr>
          <w:bottom w:val="single" w:color="0D7377" w:sz="4"/>
        </w:pBdr>
        <w:spacing w:before="280" w:after="10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Activity 2: Tier Sort  (8 minutes — pairs or table)</w:t>
      </w: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Below are teacher actions and student support examples. Write T1, T2, or T3 in the blank next to each one. Then compare with a partner — discuss any disagreements.</w:t>
      </w:r>
    </w:p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6760"/>
        <w:gridCol w:w="1300"/>
      </w:tblGrid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Action / Support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Tier?</w:t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1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The whole class does a word study lesson using the DoDEA reading curriculum.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2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Marcus receives 30 minutes of daily small-group fluency intervention from the Reading Specialist, in addition to class time.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4ED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3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The teacher provides graphic organizers to all students during a writing lesson.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4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Amara attends an intensive, one-on-one reading program 5x per week because she has not responded to group intervention.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4ED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5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The teacher regroups 4 students for a 20-minute targeted reteach of a math skill they haven't mastered.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6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The school counselor delivers a resilience lesson to the whole 3rd grade class.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4ED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7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Jada receives specialized instruction for dyslexia-related reading challenges alongside her regular classroom participation.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8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332"/>
                <w:sz w:val="20"/>
                <w:szCs w:val="20"/>
              </w:rPr>
              <w:t xml:space="preserve">A student's progress monitoring data shows they are not responding to current support, so the SST decides to increase the intervention intensity.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4ED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Answer key (discuss after): 1=T1, 2=T2, 3=T1, 4=T3, 5=T2, 6=T1, 7=T3, 8=T2/T3 decision</w:t>
      </w:r>
    </w:p>
    <w:p>
      <w:r>
        <w:br w:type="page"/>
      </w:r>
    </w:p>
    <w:p>
      <w:pPr>
        <w:pBdr>
          <w:bottom w:val="single" w:color="0D7377" w:sz="4"/>
        </w:pBdr>
        <w:spacing w:before="280" w:after="10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Activity 3: Student Scenario — Should I Refer?  (10 minutes — table groups)</w:t>
      </w: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Read the student profile below. Discuss the questions as a group and record your answers. Be prepared to share out.</w:t>
      </w:r>
    </w:p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Student Profile: Marcus, Grade 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shd w:fill="EEF2F7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color w:val="1A2332"/>
                <w:sz w:val="22"/>
                <w:szCs w:val="22"/>
              </w:rPr>
              <w:t xml:space="preserve">Marcus joined your school in October after a PCS move from Germany. He is generally cooperative and well-liked by peers. However, his reading fluency scores are 2 grade levels below benchmark, and his comprehension is also a concern. He frequently seems anxious during reading activities and has started avoiding reading aloud. His dad is currently deployed. In 8 weeks, you have tried: seating him near the front, providing read-alouds for some assignments, and pairing him with a peer for reading tasks. His progress is minimal.</w:t>
            </w:r>
          </w:p>
        </w:tc>
      </w:tr>
    </w:tbl>
    <w:p>
      <w:pPr>
        <w:spacing w:before="12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Discussion Questions: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1. Based on what you know, does Marcus meet the criteria for an SST referral? Why or why not?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2. What additional data would you want to have before or during the SST referral?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3. What military-connected factors are present? How might they influence the SST's thinking?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4. Assuming Marcus is referred, which tier do you predict the SST will recommend? What interventions might they consider?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5. If Marcus were referred to the SST, what would YOUR role be in the process?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pBdr>
          <w:bottom w:val="single" w:color="0D7377" w:sz="4"/>
        </w:pBdr>
        <w:spacing w:before="280" w:after="10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Activity 4: Referral Worksheet Practice  (10 minutes — individual, then discuss)</w:t>
      </w: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Using Marcus (or a real student you are concerned about — keep it anonymous), fill out the mini referral form below. This mirrors the actual SST Referral Worksheet.</w:t>
      </w:r>
    </w:p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Mini SST Referral Practice</w:t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Student (use pseudonym or leave blank)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Primary concern(s) — be specific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Student strengths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Relevant data I have (grades, assessments, attendance, etc.)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Tier 1 strategies I've already tried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Outcome of those strategies — what improved? What didn't?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Military-connected factors relevant to this student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none" w:color="FFFFFF" w:sz="0"/>
              <w:right w:val="single" w:color="CCCCCC" w:sz="4"/>
            </w:tcBorders>
            <w:shd w:fill="E8F5F5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What I am hoping the SST can help with</w:t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0D7377" w:sz="4"/>
        </w:pBdr>
        <w:spacing w:before="280" w:after="10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Activity 5: Exit Ticket  (5 minutes — individual)</w:t>
      </w:r>
    </w:p>
    <w:p>
      <w:pPr>
        <w:spacing w:before="4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Before you leave, complete this quick check. Your trainer may collect these.</w:t>
      </w:r>
    </w:p>
    <w:p>
      <w:pPr>
        <w:spacing w:before="10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1. Complete this sentence: "The most important thing Tier 1 instruction means for me is..."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2. One situation in which I would refer a student to the SST: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3. One thing I will do differently in my classroom as a result of this training: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332"/>
          <w:sz w:val="22"/>
          <w:szCs w:val="22"/>
        </w:rPr>
        <w:t xml:space="preserve">4. A question I still have: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/>
      </w:pPr>
    </w:p>
    <w:p>
      <w:pPr>
        <w:pBdr>
          <w:left w:val="single" w:color="0D7377" w:sz="16"/>
        </w:pBdr>
        <w:shd w:fill="E8F5F5" w:val="clear"/>
        <w:spacing w:before="120" w:after="80"/>
        <w:ind w:left="180" w:right="1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Remember: You are not alone in supporting your students. The SST is a partner. Refer early, share data, and trust the process.</w:t>
      </w:r>
    </w:p>
    <w:sectPr>
      <w:headerReference w:type="default" r:id="rId6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D7377" w:sz="6"/>
      </w:pBdr>
      <w:spacing w:after="80"/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MTSS &amp; SST Teacher Training Activity  |  DoDEA SY 2025-26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2026-03-10T16:30:43.539Z</dcterms:created>
  <dcterms:modified xsi:type="dcterms:W3CDTF">2026-03-10T16:30:43.540Z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