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0D2340"/>
          </w:tcPr>
          <w:p>
            <w:pPr>
              <w:spacing w:before="100" w:after="30"/>
            </w:pPr>
            <w:r>
              <w:rPr>
                <w:rFonts w:ascii="Arial" w:hAnsi="Arial"/>
                <w:b/>
                <w:i w:val="0"/>
                <w:color w:val="00B4A6"/>
                <w:sz w:val="17"/>
              </w:rPr>
              <w:t>DoDEA 21st Century Schools  |  Professional Learning</w:t>
            </w:r>
          </w:p>
          <w:p>
            <w:pPr>
              <w:spacing w:before="0" w:after="30"/>
            </w:pPr>
            <w:r>
              <w:rPr>
                <w:rFonts w:ascii="Arial" w:hAnsi="Arial"/>
                <w:b/>
                <w:i w:val="0"/>
                <w:color w:val="FFFFFF"/>
                <w:sz w:val="52"/>
              </w:rPr>
              <w:t>MTSS &amp; SST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CCEEEC"/>
                <w:sz w:val="22"/>
              </w:rPr>
              <w:t>A practitioner's guide to Multi-Tiered System of Supports and Student Support Teams at your elementary school</w:t>
            </w:r>
          </w:p>
        </w:tc>
      </w:tr>
    </w:tbl>
    <w:p/>
    <w:p>
      <w:pPr>
        <w:spacing w:before="240" w:after="100"/>
      </w:pPr>
      <w:r>
        <w:rPr>
          <w:rFonts w:ascii="Arial" w:hAnsi="Arial"/>
          <w:b/>
          <w:i w:val="0"/>
          <w:color w:val="0D2340"/>
          <w:sz w:val="34"/>
        </w:rPr>
        <w:t>Part 1: Multi-Tiered System of Supports (MTSS)</w:t>
      </w:r>
    </w:p>
    <w:p>
      <w:pPr>
        <w:jc w:val="left"/>
        <w:spacing w:before="80" w:after="80"/>
      </w:pPr>
      <w:r>
        <w:rPr>
          <w:rFonts w:ascii="Arial" w:hAnsi="Arial"/>
          <w:b w:val="0"/>
          <w:i w:val="0"/>
          <w:color w:val="1A1A2E"/>
          <w:sz w:val="22"/>
        </w:rPr>
        <w:t>MTSS is a school-wide framework for delivering high-quality instruction and interventions matched to student need. It uses data to identify students early, provide layered support, and monitor progress over time. MTSS is proactive — it does not wait for students to fail before providing help.</w:t>
      </w:r>
    </w:p>
    <w:p>
      <w:pPr>
        <w:jc w:val="left"/>
        <w:spacing w:before="0" w:after="120"/>
      </w:pPr>
      <w:r>
        <w:rPr>
          <w:rFonts w:ascii="Arial" w:hAnsi="Arial"/>
          <w:b w:val="0"/>
          <w:i/>
          <w:color w:val="33556E"/>
          <w:sz w:val="22"/>
        </w:rPr>
        <w:t>In a DoDEA 21st century school, MTSS is strengthened by your co-teaching structures and flexible learning spaces, which allow Tier 1 instruction to be more responsive and Tier 2 supports to be delivered without pulling students away from peers.</w:t>
      </w:r>
    </w:p>
    <w:p>
      <w:pPr>
        <w:spacing w:before="60" w:after="60"/>
        <w:pBdr>
          <w:bottom w:val="single" w:sz="6" w:space="1" w:color="00B4A6"/>
        </w:pBdr>
      </w:pPr>
    </w:p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The Three Tiers of MTSS</w:t>
      </w:r>
    </w:p>
    <w:p>
      <w:pPr>
        <w:jc w:val="left"/>
        <w:spacing w:before="0" w:after="80"/>
      </w:pPr>
      <w:r>
        <w:rPr>
          <w:rFonts w:ascii="Arial" w:hAnsi="Arial"/>
          <w:b w:val="0"/>
          <w:i/>
          <w:color w:val="1A1A2E"/>
          <w:sz w:val="21"/>
        </w:rPr>
        <w:t>Every student receives Tier 1. Tiers 2 and 3 are layered ON TOP — not instead of — Tier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Tier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Who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What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How Often</w:t>
            </w:r>
          </w:p>
        </w:tc>
      </w:tr>
      <w:tr>
        <w:tc>
          <w:tcPr>
            <w:tcW w:type="dxa" w:w="2340"/>
            <w:shd w:val="clear" w:color="auto" w:fill="F2F4F7"/>
            <w:shd w:val="clear" w:color="auto" w:fill="00B4A6"/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Tier 1</w:t>
              <w:br/>
            </w:r>
            <w:r>
              <w:rPr>
                <w:rFonts w:ascii="Arial" w:hAnsi="Arial"/>
                <w:b/>
                <w:color w:val="FFFFFF"/>
                <w:sz w:val="19"/>
              </w:rPr>
              <w:t>Universal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All students (100%)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High-quality core instruction aligned to standards. Differentiated to meet a range of needs. Includes co-teaching as a delivery vehicle.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Every day — this is the regular classroom</w:t>
            </w:r>
          </w:p>
        </w:tc>
      </w:tr>
      <w:tr>
        <w:tc>
          <w:tcPr>
            <w:tcW w:type="dxa" w:w="2340"/>
            <w:shd w:val="clear" w:color="auto" w:fill="FFFFFF"/>
            <w:shd w:val="clear" w:color="auto" w:fill="F5A623"/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Tier 2</w:t>
              <w:br/>
            </w:r>
            <w:r>
              <w:rPr>
                <w:rFonts w:ascii="Arial" w:hAnsi="Arial"/>
                <w:b/>
                <w:color w:val="FFFFFF"/>
                <w:sz w:val="19"/>
              </w:rPr>
              <w:t>Targeted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Students needing additional support (~15–20%)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Small group interventions that supplement Tier 1. Focused on specific skill gaps. Progress monitored every 2–3 weeks.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3–5x per week, 20–30 min sessions</w:t>
            </w:r>
          </w:p>
        </w:tc>
      </w:tr>
      <w:tr>
        <w:tc>
          <w:tcPr>
            <w:tcW w:type="dxa" w:w="2340"/>
            <w:shd w:val="clear" w:color="auto" w:fill="F2F4F7"/>
            <w:shd w:val="clear" w:color="auto" w:fill="E8624A"/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Tier 3</w:t>
              <w:br/>
            </w:r>
            <w:r>
              <w:rPr>
                <w:rFonts w:ascii="Arial" w:hAnsi="Arial"/>
                <w:b/>
                <w:color w:val="FFFFFF"/>
                <w:sz w:val="19"/>
              </w:rPr>
              <w:t>Intensive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Students with significant needs (~5%)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Intensive, individualised interventions. May involve specialists. Progress monitored weekly. SST and/or special education referral considered.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Daily, individualised, with specialist support</w:t>
            </w:r>
          </w:p>
        </w:tc>
      </w:tr>
    </w:tbl>
    <w:p/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Key MTSS Principles for Your School</w:t>
      </w:r>
    </w:p>
    <w:p>
      <w:pPr>
        <w:spacing w:before="60" w:after="40"/>
      </w:pPr>
      <w:r>
        <w:rPr>
          <w:rFonts w:ascii="Arial" w:hAnsi="Arial"/>
          <w:b/>
          <w:i w:val="0"/>
          <w:color w:val="0D2340"/>
          <w:sz w:val="21"/>
        </w:rPr>
        <w:t xml:space="preserve">Universal Screening: </w:t>
      </w:r>
      <w:r>
        <w:rPr>
          <w:rFonts w:ascii="Arial" w:hAnsi="Arial"/>
          <w:b w:val="0"/>
          <w:i w:val="0"/>
          <w:color w:val="1A1A2E"/>
          <w:sz w:val="21"/>
        </w:rPr>
        <w:t>All students are screened 2–3 times per year to identify those who may need additional support before they fall behind.</w:t>
      </w:r>
    </w:p>
    <w:p>
      <w:pPr>
        <w:spacing w:before="60" w:after="40"/>
      </w:pPr>
      <w:r>
        <w:rPr>
          <w:rFonts w:ascii="Arial" w:hAnsi="Arial"/>
          <w:b/>
          <w:i w:val="0"/>
          <w:color w:val="0D2340"/>
          <w:sz w:val="21"/>
        </w:rPr>
        <w:t xml:space="preserve">Data-Driven Decisions: </w:t>
      </w:r>
      <w:r>
        <w:rPr>
          <w:rFonts w:ascii="Arial" w:hAnsi="Arial"/>
          <w:b w:val="0"/>
          <w:i w:val="0"/>
          <w:color w:val="1A1A2E"/>
          <w:sz w:val="21"/>
        </w:rPr>
        <w:t>Decisions about moving students between tiers are based on data, not perception. Teams review data together on a regular cycle.</w:t>
      </w:r>
    </w:p>
    <w:p>
      <w:pPr>
        <w:spacing w:before="60" w:after="40"/>
      </w:pPr>
      <w:r>
        <w:rPr>
          <w:rFonts w:ascii="Arial" w:hAnsi="Arial"/>
          <w:b/>
          <w:i w:val="0"/>
          <w:color w:val="0D2340"/>
          <w:sz w:val="21"/>
        </w:rPr>
        <w:t xml:space="preserve">Evidence-Based Practices: </w:t>
      </w:r>
      <w:r>
        <w:rPr>
          <w:rFonts w:ascii="Arial" w:hAnsi="Arial"/>
          <w:b w:val="0"/>
          <w:i w:val="0"/>
          <w:color w:val="1A1A2E"/>
          <w:sz w:val="21"/>
        </w:rPr>
        <w:t>Interventions at every tier must be grounded in research. 'We've always done it this way' is not sufficient justification.</w:t>
      </w:r>
    </w:p>
    <w:p>
      <w:pPr>
        <w:spacing w:before="60" w:after="40"/>
      </w:pPr>
      <w:r>
        <w:rPr>
          <w:rFonts w:ascii="Arial" w:hAnsi="Arial"/>
          <w:b/>
          <w:i w:val="0"/>
          <w:color w:val="0D2340"/>
          <w:sz w:val="21"/>
        </w:rPr>
        <w:t xml:space="preserve">Family Partnerships: </w:t>
      </w:r>
      <w:r>
        <w:rPr>
          <w:rFonts w:ascii="Arial" w:hAnsi="Arial"/>
          <w:b w:val="0"/>
          <w:i w:val="0"/>
          <w:color w:val="1A1A2E"/>
          <w:sz w:val="21"/>
        </w:rPr>
        <w:t>Families are informed and involved at every tier. They are partners in the support process, not just recipients of information.</w:t>
      </w:r>
    </w:p>
    <w:p>
      <w:pPr>
        <w:spacing w:before="60" w:after="40"/>
      </w:pPr>
      <w:r>
        <w:rPr>
          <w:rFonts w:ascii="Arial" w:hAnsi="Arial"/>
          <w:b/>
          <w:i w:val="0"/>
          <w:color w:val="0D2340"/>
          <w:sz w:val="21"/>
        </w:rPr>
        <w:t xml:space="preserve">Fidelity of Implementation: </w:t>
      </w:r>
      <w:r>
        <w:rPr>
          <w:rFonts w:ascii="Arial" w:hAnsi="Arial"/>
          <w:b w:val="0"/>
          <w:i w:val="0"/>
          <w:color w:val="1A1A2E"/>
          <w:sz w:val="21"/>
        </w:rPr>
        <w:t>A great intervention delivered inconsistently will not produce results. Monitoring how well a support is being implemented matters as much as what it is.</w:t>
      </w:r>
    </w:p>
    <w:p>
      <w:pPr>
        <w:spacing w:before="60" w:after="60"/>
        <w:pBdr>
          <w:bottom w:val="single" w:sz="6" w:space="1" w:color="00B4A6"/>
        </w:pBdr>
      </w:pPr>
    </w:p>
    <w:p>
      <w:pPr>
        <w:spacing w:before="160" w:after="60"/>
      </w:pPr>
      <w:r>
        <w:rPr>
          <w:rFonts w:ascii="Arial" w:hAnsi="Arial"/>
          <w:b/>
          <w:i w:val="0"/>
          <w:color w:val="0D2340"/>
          <w:sz w:val="26"/>
        </w:rPr>
        <w:t>MTSS and Co-Teaching: A Natural Partnership</w:t>
      </w:r>
    </w:p>
    <w:p>
      <w:pPr>
        <w:jc w:val="left"/>
        <w:spacing w:before="0" w:after="80"/>
      </w:pPr>
      <w:r>
        <w:rPr>
          <w:rFonts w:ascii="Arial" w:hAnsi="Arial"/>
          <w:b w:val="0"/>
          <w:i w:val="0"/>
          <w:color w:val="1A1A2E"/>
          <w:sz w:val="22"/>
        </w:rPr>
        <w:t>Co-teaching is one of the most powerful Tier 1 delivery vehicles in your 21st century building. When two teachers are present, it becomes possible to differentiate more responsively, provide Tier 2 support within the classroom without removing students, and collect more granular observational data.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00B4A6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Co-Teaching Model</w:t>
            </w:r>
          </w:p>
        </w:tc>
        <w:tc>
          <w:tcPr>
            <w:tcW w:type="dxa" w:w="4680"/>
            <w:shd w:val="clear" w:color="auto" w:fill="00B4A6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MTSS Connection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20"/>
              </w:rPr>
              <w:t>Station Teaching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Students rotate through stations — one teacher can deliver Tier 2 targeted support at a small group station while the other maintains whole-class stations.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20"/>
              </w:rPr>
              <w:t>Alternative Teaching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One teacher works with a small group needing pre-teaching, re-teaching, or enrichment — a direct Tier 2 delivery structure within Tier 1 time.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20"/>
              </w:rPr>
              <w:t>Parallel Teaching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Both teachers deliver the same content simultaneously to half the class — higher teacher-to-student ratio supports all students, especially those at Tier 2.</w:t>
            </w:r>
          </w:p>
        </w:tc>
      </w:tr>
    </w:tbl>
    <w:p/>
    <w:p>
      <w:r>
        <w:br w:type="page"/>
      </w:r>
    </w:p>
    <w:p>
      <w:pPr>
        <w:spacing w:before="240" w:after="100"/>
      </w:pPr>
      <w:r>
        <w:rPr>
          <w:rFonts w:ascii="Arial" w:hAnsi="Arial"/>
          <w:b/>
          <w:i w:val="0"/>
          <w:color w:val="0D2340"/>
          <w:sz w:val="34"/>
        </w:rPr>
        <w:t>Part 2: Student Support Team (SST)</w:t>
      </w:r>
    </w:p>
    <w:p>
      <w:pPr>
        <w:jc w:val="left"/>
        <w:spacing w:before="80" w:after="80"/>
      </w:pPr>
      <w:r>
        <w:rPr>
          <w:rFonts w:ascii="Arial" w:hAnsi="Arial"/>
          <w:b w:val="0"/>
          <w:i w:val="0"/>
          <w:color w:val="1A1A2E"/>
          <w:sz w:val="22"/>
        </w:rPr>
        <w:t>The Student Support Team (SST) is a collaborative problem-solving process that brings together teachers, specialists, administrators, and families to develop a coordinated plan for a student whose needs are not being fully met through Tier 1 and Tier 2 supports alone.</w:t>
      </w:r>
    </w:p>
    <w:p>
      <w:pPr>
        <w:jc w:val="left"/>
        <w:spacing w:before="0" w:after="120"/>
      </w:pPr>
      <w:r>
        <w:rPr>
          <w:rFonts w:ascii="Arial" w:hAnsi="Arial"/>
          <w:b w:val="0"/>
          <w:i/>
          <w:color w:val="E8624A"/>
          <w:sz w:val="22"/>
        </w:rPr>
        <w:t>The SST is NOT a special education referral. It is a structured conversation that documents what has been tried, what the data shows, and what the team will try next — with clear ownership and timelines.</w:t>
      </w:r>
    </w:p>
    <w:p>
      <w:pPr>
        <w:spacing w:before="60" w:after="60"/>
        <w:pBdr>
          <w:bottom w:val="single" w:sz="6" w:space="1" w:color="E8624A"/>
        </w:pBdr>
      </w:pPr>
    </w:p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SST vs. Special Education Referral: Key Distinctions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00B4A6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Student Support Team (SST)</w:t>
            </w:r>
          </w:p>
        </w:tc>
        <w:tc>
          <w:tcPr>
            <w:tcW w:type="dxa" w:w="4680"/>
            <w:shd w:val="clear" w:color="auto" w:fill="E8624A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Special Education Referral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General education process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Special education eligibility process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No formal eligibility determination required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Requires evaluation and eligibility meeting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Team-developed action plan with check-in dates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IEP with legally binding goals and services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Can happen at any point — does not require referral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Requires written referral and parental consent for evaluation</w:t>
            </w:r>
          </w:p>
        </w:tc>
      </w:tr>
    </w:tbl>
    <w:p/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The SST Process: Step by Step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152"/>
            <w:shd w:val="clear" w:color="auto" w:fill="00B4A6"/>
            <w:vAlign w:val="center"/>
          </w:tcPr>
          <w:p>
            <w:pPr>
              <w:spacing w:before="6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Step 1</w:t>
            </w:r>
          </w:p>
          <w:p>
            <w:pPr>
              <w:spacing w:before="0" w:after="60"/>
              <w:jc w:val="center"/>
            </w:pP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i w:val="0"/>
                <w:color w:val="00B4A6"/>
                <w:sz w:val="22"/>
              </w:rPr>
              <w:t>Identify &amp; Refer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A teacher, parent, or specialist identifies a student whose needs are not being met. A referral is submitted to the SST coordinator. Referral should include: current data, interventions already tried, and teacher observations.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152"/>
            <w:shd w:val="clear" w:color="auto" w:fill="0D2340"/>
            <w:vAlign w:val="center"/>
          </w:tcPr>
          <w:p>
            <w:pPr>
              <w:spacing w:before="6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Step 2</w:t>
            </w:r>
          </w:p>
          <w:p>
            <w:pPr>
              <w:spacing w:before="0" w:after="60"/>
              <w:jc w:val="center"/>
            </w:pP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i w:val="0"/>
                <w:color w:val="0D2340"/>
                <w:sz w:val="22"/>
              </w:rPr>
              <w:t>Pre-Meeting Data Gathering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The SST coordinator collects relevant data before the meeting: attendance, assessment results, work samples, behavioral observations, and any prior intervention records. Families are notified and invited.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152"/>
            <w:shd w:val="clear" w:color="auto" w:fill="E8624A"/>
            <w:vAlign w:val="center"/>
          </w:tcPr>
          <w:p>
            <w:pPr>
              <w:spacing w:before="6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Step 3</w:t>
            </w:r>
          </w:p>
          <w:p>
            <w:pPr>
              <w:spacing w:before="0" w:after="60"/>
              <w:jc w:val="center"/>
            </w:pP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i w:val="0"/>
                <w:color w:val="E8624A"/>
                <w:sz w:val="22"/>
              </w:rPr>
              <w:t>SST Meeting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The team meets — typically 45–60 minutes. The meeting follows a structured protocol: review of strengths, review of concerns, review of data, development of an action plan with specific strategies, owners, and a check-in date.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152"/>
            <w:shd w:val="clear" w:color="auto" w:fill="F5A623"/>
            <w:vAlign w:val="center"/>
          </w:tcPr>
          <w:p>
            <w:pPr>
              <w:spacing w:before="6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Step 4</w:t>
            </w:r>
          </w:p>
          <w:p>
            <w:pPr>
              <w:spacing w:before="0" w:after="60"/>
              <w:jc w:val="center"/>
            </w:pP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i w:val="0"/>
                <w:color w:val="F5A623"/>
                <w:sz w:val="22"/>
              </w:rPr>
              <w:t>Implementation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The classroom teacher implements the agreed strategies. Specialists provide consultation or direct support as planned. Progress is monitored using agreed tools at agreed intervals.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152"/>
            <w:shd w:val="clear" w:color="auto" w:fill="5AA64E"/>
            <w:vAlign w:val="center"/>
          </w:tcPr>
          <w:p>
            <w:pPr>
              <w:spacing w:before="6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Step 5</w:t>
            </w:r>
          </w:p>
          <w:p>
            <w:pPr>
              <w:spacing w:before="0" w:after="60"/>
              <w:jc w:val="center"/>
            </w:pP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i w:val="0"/>
                <w:color w:val="5AA64E"/>
                <w:sz w:val="22"/>
              </w:rPr>
              <w:t>Follow-Up Meeting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The team reconvenes (typically 4–6 weeks later) to review progress data. Three outcomes are possible: the plan is working — continue; the plan needs adjustment — revise; the student needs a different level of support — consider special education referral.</w:t>
            </w:r>
          </w:p>
        </w:tc>
      </w:tr>
    </w:tbl>
    <w:p/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Who Is at the SST Table?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Role</w:t>
            </w:r>
          </w:p>
        </w:tc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Responsibility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SST Coordinator / Facilitator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Schedules the meeting, manages the agenda, records the action plan, and tracks follow-up. Often a counselor, instructional coach, or assistant principal.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Classroom Teacher(s)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Shares observational data, describes what has already been tried, and is the primary implementer of the action plan strategies.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Family Member(s)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Essential partner. Shares information about the student's strengths, home context, and history. Must be welcomed, not just invited.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Student (when appropriate)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Upper elementary students can and should be included — it builds agency and ensures the plan is responsive to the student's own perspective.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Specialist(s)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School counselor, psychologist, speech-language pathologist, or resource teacher — as relevant to the student's needs.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Administrator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>Ensures resources and scheduling support. Signals that the school takes this process seriously.</w:t>
            </w:r>
          </w:p>
        </w:tc>
      </w:tr>
    </w:tbl>
    <w:p/>
    <w:p>
      <w:pPr>
        <w:spacing w:before="60" w:after="60"/>
        <w:pBdr>
          <w:bottom w:val="single" w:sz="6" w:space="1" w:color="E8624A"/>
        </w:pBdr>
      </w:pPr>
    </w:p>
    <w:p>
      <w:pPr>
        <w:spacing w:before="240" w:after="100"/>
      </w:pPr>
      <w:r>
        <w:rPr>
          <w:rFonts w:ascii="Arial" w:hAnsi="Arial"/>
          <w:b/>
          <w:i w:val="0"/>
          <w:color w:val="0D2340"/>
          <w:sz w:val="34"/>
        </w:rPr>
        <w:t>Part 3: How MTSS and SST Work Together</w:t>
      </w:r>
    </w:p>
    <w:p>
      <w:pPr>
        <w:jc w:val="left"/>
        <w:spacing w:before="80" w:after="120"/>
      </w:pPr>
      <w:r>
        <w:rPr>
          <w:rFonts w:ascii="Arial" w:hAnsi="Arial"/>
          <w:b w:val="0"/>
          <w:i w:val="0"/>
          <w:color w:val="1A1A2E"/>
          <w:sz w:val="22"/>
        </w:rPr>
        <w:t>MTSS is the framework. SST is one of the processes within it. Think of MTSS as the road map and SST as the protocol for when a student needs the team to problem-solve together. The two work in tandem — not as separate systems.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00B4A6"/>
          </w:tcPr>
          <w:p>
            <w:pPr>
              <w:spacing w:before="100" w:after="2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MTSS Framework</w:t>
            </w:r>
          </w:p>
          <w:p>
            <w:pPr>
              <w:spacing w:before="0" w:after="100"/>
            </w:pPr>
            <w:r>
              <w:rPr>
                <w:rFonts w:ascii="Arial" w:hAnsi="Arial"/>
                <w:b w:val="0"/>
                <w:i w:val="0"/>
                <w:color w:val="FFFFFF"/>
                <w:sz w:val="19"/>
              </w:rPr>
              <w:t>Sets the tiers, data cycles, screening schedule, and intervention menu for the whole school. Everyone operates within it.</w:t>
            </w:r>
          </w:p>
        </w:tc>
        <w:tc>
          <w:tcPr>
            <w:tcW w:type="dxa" w:w="3120"/>
            <w:shd w:val="clear" w:color="auto" w:fill="0D2340"/>
          </w:tcPr>
          <w:p>
            <w:pPr>
              <w:spacing w:before="100" w:after="2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Data Review Meetings</w:t>
            </w:r>
          </w:p>
          <w:p>
            <w:pPr>
              <w:spacing w:before="0" w:after="100"/>
            </w:pPr>
            <w:r>
              <w:rPr>
                <w:rFonts w:ascii="Arial" w:hAnsi="Arial"/>
                <w:b w:val="0"/>
                <w:i w:val="0"/>
                <w:color w:val="FFFFFF"/>
                <w:sz w:val="19"/>
              </w:rPr>
              <w:t>Regular team meetings (grade-level or data team) where Tier movement decisions are made based on progress monitoring data.</w:t>
            </w:r>
          </w:p>
        </w:tc>
        <w:tc>
          <w:tcPr>
            <w:tcW w:type="dxa" w:w="3120"/>
            <w:shd w:val="clear" w:color="auto" w:fill="E8624A"/>
          </w:tcPr>
          <w:p>
            <w:pPr>
              <w:spacing w:before="100" w:after="2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SST Meeting</w:t>
            </w:r>
          </w:p>
          <w:p>
            <w:pPr>
              <w:spacing w:before="0" w:after="100"/>
            </w:pPr>
            <w:r>
              <w:rPr>
                <w:rFonts w:ascii="Arial" w:hAnsi="Arial"/>
                <w:b w:val="0"/>
                <w:i w:val="0"/>
                <w:color w:val="FFFFFF"/>
                <w:sz w:val="19"/>
              </w:rPr>
              <w:t>Activated when a student's data and teacher/family concern warrants a more intensive, coordinated problem-solving conversation.</w:t>
            </w:r>
          </w:p>
        </w:tc>
      </w:tr>
    </w:tbl>
    <w:p/>
    <w:p>
      <w:pPr>
        <w:spacing w:before="160" w:after="60"/>
      </w:pPr>
      <w:r>
        <w:rPr>
          <w:rFonts w:ascii="Arial" w:hAnsi="Arial"/>
          <w:b/>
          <w:i w:val="0"/>
          <w:color w:val="00B4A6"/>
          <w:sz w:val="24"/>
        </w:rPr>
        <w:t>Common Questions from Staff</w:t>
      </w:r>
    </w:p>
    <w:p>
      <w:pPr>
        <w:spacing w:before="80" w:after="20"/>
      </w:pPr>
      <w:r>
        <w:rPr>
          <w:rFonts w:ascii="Arial" w:hAnsi="Arial"/>
          <w:b/>
          <w:i w:val="0"/>
          <w:color w:val="0D2340"/>
          <w:sz w:val="21"/>
        </w:rPr>
        <w:t>Q: When should I refer a student to SST?</w:t>
      </w:r>
    </w:p>
    <w:p>
      <w:pPr>
        <w:spacing w:before="0" w:after="60"/>
      </w:pPr>
      <w:r>
        <w:rPr>
          <w:rFonts w:ascii="Arial" w:hAnsi="Arial"/>
          <w:b w:val="0"/>
          <w:i w:val="0"/>
          <w:color w:val="1A1A2E"/>
          <w:sz w:val="21"/>
        </w:rPr>
        <w:t>A: When Tier 1 differentiation and at least one targeted Tier 2 support have been tried with fidelity for 6–8 weeks and the student is not making adequate progress. Document what you tried and what the data shows.</w:t>
      </w:r>
    </w:p>
    <w:p>
      <w:pPr>
        <w:spacing w:before="80" w:after="20"/>
      </w:pPr>
      <w:r>
        <w:rPr>
          <w:rFonts w:ascii="Arial" w:hAnsi="Arial"/>
          <w:b/>
          <w:i w:val="0"/>
          <w:color w:val="0D2340"/>
          <w:sz w:val="21"/>
        </w:rPr>
        <w:t>Q: Can a student be on an SST plan and a Tier 2 intervention at the same time?</w:t>
      </w:r>
    </w:p>
    <w:p>
      <w:pPr>
        <w:spacing w:before="0" w:after="60"/>
      </w:pPr>
      <w:r>
        <w:rPr>
          <w:rFonts w:ascii="Arial" w:hAnsi="Arial"/>
          <w:b w:val="0"/>
          <w:i w:val="0"/>
          <w:color w:val="1A1A2E"/>
          <w:sz w:val="21"/>
        </w:rPr>
        <w:t>A: Yes — and they usually are. The SST plan coordinates and documents all supports, including any Tier 2 interventions already in place.</w:t>
      </w:r>
    </w:p>
    <w:p>
      <w:pPr>
        <w:spacing w:before="80" w:after="20"/>
      </w:pPr>
      <w:r>
        <w:rPr>
          <w:rFonts w:ascii="Arial" w:hAnsi="Arial"/>
          <w:b/>
          <w:i w:val="0"/>
          <w:color w:val="0D2340"/>
          <w:sz w:val="21"/>
        </w:rPr>
        <w:t>Q: Is the SST the same as a special education referral?</w:t>
      </w:r>
    </w:p>
    <w:p>
      <w:pPr>
        <w:spacing w:before="0" w:after="60"/>
      </w:pPr>
      <w:r>
        <w:rPr>
          <w:rFonts w:ascii="Arial" w:hAnsi="Arial"/>
          <w:b w:val="0"/>
          <w:i w:val="0"/>
          <w:color w:val="1A1A2E"/>
          <w:sz w:val="21"/>
        </w:rPr>
        <w:t>A: No. SST is a general education process. It may lead to a special education referral if the team determines the student needs evaluation, but most students who go through SST do not require special education services.</w:t>
      </w:r>
    </w:p>
    <w:p>
      <w:pPr>
        <w:spacing w:before="80" w:after="20"/>
      </w:pPr>
      <w:r>
        <w:rPr>
          <w:rFonts w:ascii="Arial" w:hAnsi="Arial"/>
          <w:b/>
          <w:i w:val="0"/>
          <w:color w:val="0D2340"/>
          <w:sz w:val="21"/>
        </w:rPr>
        <w:t>Q: What is my role as a co-teacher in MTSS?</w:t>
      </w:r>
    </w:p>
    <w:p>
      <w:pPr>
        <w:spacing w:before="0" w:after="60"/>
      </w:pPr>
      <w:r>
        <w:rPr>
          <w:rFonts w:ascii="Arial" w:hAnsi="Arial"/>
          <w:b w:val="0"/>
          <w:i w:val="0"/>
          <w:color w:val="1A1A2E"/>
          <w:sz w:val="21"/>
        </w:rPr>
        <w:t>A: Co-teachers are a Tier 1 asset. Use your co-teaching time to differentiate, provide embedded Tier 2 support, and collect observational data. Both co-teachers should contribute to SST documentation when relevant.</w:t>
      </w:r>
    </w:p>
    <w:p>
      <w:pPr>
        <w:spacing w:before="80" w:after="20"/>
      </w:pPr>
      <w:r>
        <w:rPr>
          <w:rFonts w:ascii="Arial" w:hAnsi="Arial"/>
          <w:b/>
          <w:i w:val="0"/>
          <w:color w:val="0D2340"/>
          <w:sz w:val="21"/>
        </w:rPr>
        <w:t>Q: How do I talk to families about MTSS and SST?</w:t>
      </w:r>
    </w:p>
    <w:p>
      <w:pPr>
        <w:spacing w:before="0" w:after="60"/>
      </w:pPr>
      <w:r>
        <w:rPr>
          <w:rFonts w:ascii="Arial" w:hAnsi="Arial"/>
          <w:b w:val="0"/>
          <w:i w:val="0"/>
          <w:color w:val="1A1A2E"/>
          <w:sz w:val="21"/>
        </w:rPr>
        <w:t>A: Use plain language. Avoid acronyms. Lead with the student's strengths. Frame supports as the school working harder for the student — not as a sign something is wrong with the child.</w:t>
      </w:r>
    </w:p>
    <w:p>
      <w:pPr>
        <w:spacing w:before="60" w:after="60"/>
        <w:pBdr>
          <w:bottom w:val="single" w:sz="6" w:space="1" w:color="F5A623"/>
        </w:pBdr>
      </w:pPr>
    </w:p>
    <w:p>
      <w:pPr>
        <w:spacing w:before="200" w:after="100"/>
      </w:pPr>
      <w:r>
        <w:rPr>
          <w:rFonts w:ascii="Arial" w:hAnsi="Arial"/>
          <w:b/>
          <w:i w:val="0"/>
          <w:color w:val="0D2340"/>
          <w:sz w:val="28"/>
        </w:rPr>
        <w:t>Appendix: SST Action Plan Template</w:t>
      </w:r>
    </w:p>
    <w:p>
      <w:pPr>
        <w:jc w:val="left"/>
        <w:spacing w:before="0" w:after="80"/>
      </w:pPr>
      <w:r>
        <w:rPr>
          <w:rFonts w:ascii="Arial" w:hAnsi="Arial"/>
          <w:b w:val="0"/>
          <w:i/>
          <w:color w:val="1A1A2E"/>
          <w:sz w:val="20"/>
        </w:rPr>
        <w:t>Complete this form during the SST meeting. Keep a copy in the student's school file and share with the family.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Student Name &amp; Grade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Date of SST Meeting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Team Members Present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Student Strengths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Area(s) of Concern (with data)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Strategies / Supports Agreed (include owner and timeline)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Progress Monitoring Plan (tool, frequency, who)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D2340"/>
                <w:sz w:val="19"/>
              </w:rPr>
              <w:t>Follow-Up Meeting Date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100"/>
            </w:pPr>
            <w:r>
              <w:rPr>
                <w:rFonts w:ascii="Arial" w:hAnsi="Arial"/>
                <w:b w:val="0"/>
                <w:i w:val="0"/>
                <w:color w:val="1A1A2E"/>
                <w:sz w:val="19"/>
              </w:rPr>
              <w:t xml:space="preserve"> </w:t>
            </w:r>
          </w:p>
        </w:tc>
      </w:tr>
    </w:tbl>
    <w:p/>
    <w:p>
      <w:pPr>
        <w:jc w:val="center"/>
        <w:spacing w:before="60" w:after="60"/>
      </w:pPr>
      <w:r>
        <w:rPr>
          <w:rFonts w:ascii="Arial" w:hAnsi="Arial"/>
          <w:b w:val="0"/>
          <w:i/>
          <w:color w:val="6B7280"/>
          <w:sz w:val="17"/>
        </w:rPr>
        <w:t>MTSS framework based on IDEA (2004) and Every Student Succeeds Act (ESSA, 2015). SST process adapted for DoDEA 21st Century Elementary Schools.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