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500"/>
        <w:gridCol w:w="3500"/>
        <w:gridCol w:w="3760"/>
      </w:tblGrid>
      <w:tr>
        <w:tc>
          <w:tcPr>
            <w:gridSpan w:val="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B2D8E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2"/>
                <w:szCs w:val="32"/>
              </w:rPr>
              <w:t xml:space="preserve">DoDEA Learning Walkthrough: </w:t>
            </w: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32"/>
                <w:szCs w:val="32"/>
              </w:rPr>
              <w:t xml:space="preserve">Teacher Behaviors &amp; Classroom Structure At-a-Glance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F0C060"/>
                <w:sz w:val="22"/>
                <w:szCs w:val="22"/>
              </w:rPr>
              <w:t xml:space="preserve">GES Grizzlies | Grafenwoehr Elementary School</w:t>
            </w:r>
          </w:p>
        </w:tc>
      </w:tr>
      <w:tr>
        <w:trPr>
          <w:tblHeader/>
        </w:trP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5B2D8E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INDICATOR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B5E20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ENVIRONMENT — What to Look For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0D47A1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TEACHER BEHAVIORS — What to Listen &amp; Watch For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4A148C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QUESTIONS TO ASK THE TEACHER</w:t>
            </w:r>
          </w:p>
        </w:tc>
      </w:tr>
      <w:tr>
        <w:tc>
          <w:tcPr>
            <w:gridSpan w:val="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B5E20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FFFFFF"/>
                <w:sz w:val="20"/>
                <w:szCs w:val="20"/>
              </w:rPr>
              <w:t xml:space="preserve">LEARNING ENVIRONMENT</w:t>
            </w:r>
          </w:p>
        </w:tc>
      </w:tr>
      <w:t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28"/>
                <w:szCs w:val="28"/>
              </w:rPr>
              <w:t xml:space="preserve">1</w:t>
            </w:r>
          </w:p>
          <w:p>
            <w:r>
              <w:rPr>
                <w:rFonts w:ascii="Arial" w:cs="Arial" w:eastAsia="Arial" w:hAnsi="Arial"/>
                <w:b/>
                <w:bCs/>
                <w:color w:val="1B5E20"/>
                <w:sz w:val="16"/>
                <w:szCs w:val="16"/>
              </w:rPr>
              <w:t xml:space="preserve">Student-Centered Learning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5"/>
                <w:szCs w:val="15"/>
              </w:rPr>
              <w:t xml:space="preserve">• Visual displays: anchor charts, norms, exemplars, goals
• Flexible furniture configurations
• SPED/ESOL/manipulative resources accessible
• Progress monitoring displays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5"/>
                <w:szCs w:val="15"/>
              </w:rPr>
              <w:t xml:space="preserve">• Provides voice &amp; choice in tasks
• Connects tasks to posted goals/objectives
• Celebrates student successes
• References data to make grouping decisions
• Collaborates with students on instructional decisions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333333"/>
                <w:sz w:val="15"/>
                <w:szCs w:val="15"/>
              </w:rPr>
              <w:t xml:space="preserve">• How do you set and maintain an environment of respect?
• What collaborative structures do you use?
• How are norms developed &amp; reinforced?
• What strategies give students voice and choice?</w:t>
            </w:r>
          </w:p>
        </w:tc>
      </w:tr>
      <w:t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28"/>
                <w:szCs w:val="28"/>
              </w:rPr>
              <w:t xml:space="preserve">2</w:t>
            </w:r>
          </w:p>
          <w:p>
            <w:r>
              <w:rPr>
                <w:rFonts w:ascii="Arial" w:cs="Arial" w:eastAsia="Arial" w:hAnsi="Arial"/>
                <w:b/>
                <w:bCs/>
                <w:color w:val="1B5E20"/>
                <w:sz w:val="16"/>
                <w:szCs w:val="16"/>
              </w:rPr>
              <w:t xml:space="preserve">DoDEA-Adopted Materials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5"/>
                <w:szCs w:val="15"/>
              </w:rPr>
              <w:t xml:space="preserve">• DoDEA texts/kits/manipulatives in use
• Anchor charts from adopted resources displayed
• DoDEA approved software integrated
• Adopted learning aids self-accessible to students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5"/>
                <w:szCs w:val="15"/>
              </w:rPr>
              <w:t xml:space="preserve">• References materials &amp; page numbers of adopted texts
• Provides discourse opportunities around adopted curriculum
• Selects appropriate DoDEA resources for learning
• Delivers standards-based lessons using adopted materials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333333"/>
                <w:sz w:val="15"/>
                <w:szCs w:val="15"/>
              </w:rPr>
              <w:t xml:space="preserve">• What resources are you using to meet needs of struggling or advanced students?
• When you supplement, how do you determine appropriateness?</w:t>
            </w:r>
          </w:p>
        </w:tc>
      </w:tr>
      <w:t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28"/>
                <w:szCs w:val="28"/>
              </w:rPr>
              <w:t xml:space="preserve">3</w:t>
            </w:r>
          </w:p>
          <w:p>
            <w:r>
              <w:rPr>
                <w:rFonts w:ascii="Arial" w:cs="Arial" w:eastAsia="Arial" w:hAnsi="Arial"/>
                <w:b/>
                <w:bCs/>
                <w:color w:val="1B5E20"/>
                <w:sz w:val="16"/>
                <w:szCs w:val="16"/>
              </w:rPr>
              <w:t xml:space="preserve">Digital Tools / Multimedia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5"/>
                <w:szCs w:val="15"/>
              </w:rPr>
              <w:t xml:space="preserve">• Digital tools used beyond substitution level (SAMR)
• LMS used to personalize learning
• Collaborative tools (Google Docs, Wixie, etc.) visible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5"/>
                <w:szCs w:val="15"/>
              </w:rPr>
              <w:t xml:space="preserve">• Facilitates learning at augmentation/modification/redefinition (SAMR)
• Provides access to digital tools for all students
• Uses PBL, blended, or virtual learning models
• Promotes digital citizenship
• Creates collaborative atmosphere using digital tools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333333"/>
                <w:sz w:val="15"/>
                <w:szCs w:val="15"/>
              </w:rPr>
              <w:t xml:space="preserve">• How do digital tools transform the task beyond substitution?
• What tools do you use for student collaboration/creation?
• How do you purposefully embed digital tools?
• How do you select tools aligned to CCRS?</w:t>
            </w:r>
          </w:p>
        </w:tc>
      </w:tr>
      <w:tr>
        <w:tc>
          <w:tcPr>
            <w:gridSpan w:val="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0D47A1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FFFFFF"/>
                <w:sz w:val="20"/>
                <w:szCs w:val="20"/>
              </w:rPr>
              <w:t xml:space="preserve">FACILITATING LEARNING</w:t>
            </w:r>
          </w:p>
        </w:tc>
      </w:tr>
      <w:t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0D47A1"/>
                <w:sz w:val="28"/>
                <w:szCs w:val="28"/>
              </w:rPr>
              <w:t xml:space="preserve">4</w:t>
            </w:r>
          </w:p>
          <w:p>
            <w:r>
              <w:rPr>
                <w:rFonts w:ascii="Arial" w:cs="Arial" w:eastAsia="Arial" w:hAnsi="Arial"/>
                <w:b/>
                <w:bCs/>
                <w:color w:val="0D47A1"/>
                <w:sz w:val="16"/>
                <w:szCs w:val="16"/>
              </w:rPr>
              <w:t xml:space="preserve">High Expectations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5"/>
                <w:szCs w:val="15"/>
              </w:rPr>
              <w:t xml:space="preserve">• Current student work displayed with descriptive feedback
• Rubrics/success criteria clearly communicated
• Safe, creative learning spaces
• Equitable access to materials and routines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5"/>
                <w:szCs w:val="15"/>
              </w:rPr>
              <w:t xml:space="preserve">• Provides scaffolding questions to lead students to correct responses
• Cues students to extend knowledge &amp; test reliability of responses
• Responds to ALL students equitably and intentionally
• Uses models, exemplars, authentic student work
• Facilitates rigorous tasks with scaffolded supports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333333"/>
                <w:sz w:val="15"/>
                <w:szCs w:val="15"/>
              </w:rPr>
              <w:t xml:space="preserve">• How do you plan questions that support students in discovering correct responses?
• How do you plan rigorous experiences for ALL students?
• What strategies communicate lesson expectations?
• How do you ensure equitable, intentional responses to all students?</w:t>
            </w:r>
          </w:p>
        </w:tc>
      </w:tr>
      <w:t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0D47A1"/>
                <w:sz w:val="28"/>
                <w:szCs w:val="28"/>
              </w:rPr>
              <w:t xml:space="preserve">5</w:t>
            </w:r>
          </w:p>
          <w:p>
            <w:r>
              <w:rPr>
                <w:rFonts w:ascii="Arial" w:cs="Arial" w:eastAsia="Arial" w:hAnsi="Arial"/>
                <w:b/>
                <w:bCs/>
                <w:color w:val="0D47A1"/>
                <w:sz w:val="16"/>
                <w:szCs w:val="16"/>
              </w:rPr>
              <w:t xml:space="preserve">Student Engagement / Pacing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5"/>
                <w:szCs w:val="15"/>
              </w:rPr>
              <w:t xml:space="preserve">• Lesson timing allows for discourse &amp; gradual release
• Materials accessible to all
• Classroom organized for collaborative groupings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5"/>
                <w:szCs w:val="15"/>
              </w:rPr>
              <w:t xml:space="preserve">• Uses hook, checks for understanding, wait time, mini-lessons
• Follows DoDEA 20-60-20 framework
• Uses questioning techniques for active participation
• Differentiates by product/process/content
• Uses scaffolds for all learning levels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333333"/>
                <w:sz w:val="15"/>
                <w:szCs w:val="15"/>
              </w:rPr>
              <w:t xml:space="preserve">• What techniques ensure all students are actively engaged?
• How do you differentiate for process/product/content?
• How often do students interact with peers?
• How do you ensure all students participate?</w:t>
            </w:r>
          </w:p>
        </w:tc>
      </w:tr>
      <w:t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0D47A1"/>
                <w:sz w:val="28"/>
                <w:szCs w:val="28"/>
              </w:rPr>
              <w:t xml:space="preserve">6</w:t>
            </w:r>
          </w:p>
          <w:p>
            <w:r>
              <w:rPr>
                <w:rFonts w:ascii="Arial" w:cs="Arial" w:eastAsia="Arial" w:hAnsi="Arial"/>
                <w:b/>
                <w:bCs/>
                <w:color w:val="0D47A1"/>
                <w:sz w:val="16"/>
                <w:szCs w:val="16"/>
              </w:rPr>
              <w:t xml:space="preserve">Flexible Groups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5"/>
                <w:szCs w:val="15"/>
              </w:rPr>
              <w:t xml:space="preserve">• Visible group assignment displays
• Grouping norms/routines evident in practice
• Moveable furniture supports fluid groupings
• Resources organized for group work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5"/>
                <w:szCs w:val="15"/>
              </w:rPr>
              <w:t xml:space="preserve">• Facilitates group processes so all students are engaged
• Provides small group direct instruction
• Adjusts tasks based on formative data
• Forms groups based on data &amp; learning objectives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333333"/>
                <w:sz w:val="15"/>
                <w:szCs w:val="15"/>
              </w:rPr>
              <w:t xml:space="preserve">• What formative data informed your groupings?
• How often do groupings change?
• How do flexible groups support standards mastery?
• How do you ensure all students participate in group tasks?</w:t>
            </w:r>
          </w:p>
        </w:tc>
      </w:tr>
      <w:t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0D47A1"/>
                <w:sz w:val="28"/>
                <w:szCs w:val="28"/>
              </w:rPr>
              <w:t xml:space="preserve">7</w:t>
            </w:r>
          </w:p>
          <w:p>
            <w:r>
              <w:rPr>
                <w:rFonts w:ascii="Arial" w:cs="Arial" w:eastAsia="Arial" w:hAnsi="Arial"/>
                <w:b/>
                <w:bCs/>
                <w:color w:val="0D47A1"/>
                <w:sz w:val="16"/>
                <w:szCs w:val="16"/>
              </w:rPr>
              <w:t xml:space="preserve">Formative Assessment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5"/>
                <w:szCs w:val="15"/>
              </w:rPr>
              <w:t xml:space="preserve">• Anchor charts for peer-feedback &amp; self-assessment
• Resources (whiteboards, cards, clickers) available
• Posted learning goals referred to during instruction
• Data charts for student progress monitoring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5"/>
                <w:szCs w:val="15"/>
              </w:rPr>
              <w:t xml:space="preserve">• Conducts frequent checks for understanding
• Uses formal FA (entrance slips, quizzes, self-assessments)
• Uses informal FA (dipsticking, thumbs-up, whiteboards)
• Uses FA results to provide effective feedback
• Uses effective questioning to reveal depth of understanding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333333"/>
                <w:sz w:val="15"/>
                <w:szCs w:val="15"/>
              </w:rPr>
              <w:t xml:space="preserve">• How often do you check for understanding?
• How do you use FA to guide ongoing learning?
• How do you create a culture of self &amp; peer-assessment?</w:t>
            </w:r>
          </w:p>
        </w:tc>
      </w:tr>
      <w:tr>
        <w:tc>
          <w:tcPr>
            <w:gridSpan w:val="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4A148C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FFFFFF"/>
                <w:sz w:val="20"/>
                <w:szCs w:val="20"/>
              </w:rPr>
              <w:t xml:space="preserve">INSTRUCTIONAL SHIFTS</w:t>
            </w:r>
          </w:p>
        </w:tc>
      </w:tr>
      <w:t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4A148C"/>
                <w:sz w:val="28"/>
                <w:szCs w:val="28"/>
              </w:rPr>
              <w:t xml:space="preserve">8</w:t>
            </w:r>
          </w:p>
          <w:p>
            <w:r>
              <w:rPr>
                <w:rFonts w:ascii="Arial" w:cs="Arial" w:eastAsia="Arial" w:hAnsi="Arial"/>
                <w:b/>
                <w:bCs/>
                <w:color w:val="4A148C"/>
                <w:sz w:val="16"/>
                <w:szCs w:val="16"/>
              </w:rPr>
              <w:t xml:space="preserve">Goals / Objectives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5"/>
                <w:szCs w:val="15"/>
              </w:rPr>
              <w:t xml:space="preserve">• Standards-based feedback displayed on student work
• Rubrics/anchor charts aligned to learning goals
• Entrance/exit tasks reflect goals
• KWL, essential questions, 'I can' statements visible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5"/>
                <w:szCs w:val="15"/>
              </w:rPr>
              <w:t xml:space="preserve">• Aligns tasks &amp; assessments to stated goals
• Connects goals throughout beginning, middle &amp; end
• Prompts with 'Yesterday we...' / 'Today we...' / 'Remember...'
• Gives feedback aligned to goals
• Brings attention to goals as groupings/tasks change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333333"/>
                <w:sz w:val="15"/>
                <w:szCs w:val="15"/>
              </w:rPr>
              <w:t xml:space="preserve">• How did you determine today's goals?
• How do you know when all students have met the goals?
• How are you communicating &amp; referring to goals during the lesson?
• How do you address students not mastering goals?</w:t>
            </w:r>
          </w:p>
        </w:tc>
      </w:tr>
      <w:t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4A148C"/>
                <w:sz w:val="28"/>
                <w:szCs w:val="28"/>
              </w:rPr>
              <w:t xml:space="preserve">9</w:t>
            </w:r>
          </w:p>
          <w:p>
            <w:r>
              <w:rPr>
                <w:rFonts w:ascii="Arial" w:cs="Arial" w:eastAsia="Arial" w:hAnsi="Arial"/>
                <w:b/>
                <w:bCs/>
                <w:color w:val="4A148C"/>
                <w:sz w:val="16"/>
                <w:szCs w:val="16"/>
              </w:rPr>
              <w:t xml:space="preserve">Productive Struggle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5"/>
                <w:szCs w:val="15"/>
              </w:rPr>
              <w:t xml:space="preserve">• Anchor charts explaining thinking strategies
• Classroom arranged for collaborative groups
• Routines support risk-taking &amp; trial and error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5"/>
                <w:szCs w:val="15"/>
              </w:rPr>
              <w:t xml:space="preserve">• Deploys adequate wait time before offering assistance
• Uses words like explain, why, how to promote discourse
• Models think-alouds, reflective questioning, mind maps
• Encourages use of strategies for higher-order thinking
• Provides tasks that push beyond current abilities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333333"/>
                <w:sz w:val="15"/>
                <w:szCs w:val="15"/>
              </w:rPr>
              <w:t xml:space="preserve">• Why did you select this task for this lesson?
• What strategies help students see multiple solutions?
• How do you respond when a student struggles or exceeds expectations?</w:t>
            </w:r>
          </w:p>
        </w:tc>
      </w:tr>
      <w:t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4A148C"/>
                <w:sz w:val="28"/>
                <w:szCs w:val="28"/>
              </w:rPr>
              <w:t xml:space="preserve">10</w:t>
            </w:r>
          </w:p>
          <w:p>
            <w:r>
              <w:rPr>
                <w:rFonts w:ascii="Arial" w:cs="Arial" w:eastAsia="Arial" w:hAnsi="Arial"/>
                <w:b/>
                <w:bCs/>
                <w:color w:val="4A148C"/>
                <w:sz w:val="16"/>
                <w:szCs w:val="16"/>
              </w:rPr>
              <w:t xml:space="preserve">Domain Specific Vocabulary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5"/>
                <w:szCs w:val="15"/>
              </w:rPr>
              <w:t xml:space="preserve">• Word walls, concept walls, anchor charts as tools
• Student work exemplars reinforce vocabulary
• Sentence starters, reference materials available
• Safe classroom culture for new vocabulary use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5"/>
                <w:szCs w:val="15"/>
              </w:rPr>
              <w:t xml:space="preserve">• Models use of content-specific vocabulary
• Uses domain vocabulary &amp; strategies to demonstrate understanding
• Crafts higher-order questions grounded in domain vocabulary
• Sets high expectations for domain vocabulary in discourse
• Uses sentence stems, conversation starters, conversation cards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333333"/>
                <w:sz w:val="15"/>
                <w:szCs w:val="15"/>
              </w:rPr>
              <w:t xml:space="preserve">• How do you determine vocabulary to be taught and used?</w:t>
            </w:r>
          </w:p>
        </w:tc>
      </w:tr>
      <w:t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4A148C"/>
                <w:sz w:val="28"/>
                <w:szCs w:val="28"/>
              </w:rPr>
              <w:t xml:space="preserve">11</w:t>
            </w:r>
          </w:p>
          <w:p>
            <w:r>
              <w:rPr>
                <w:rFonts w:ascii="Arial" w:cs="Arial" w:eastAsia="Arial" w:hAnsi="Arial"/>
                <w:b/>
                <w:bCs/>
                <w:color w:val="4A148C"/>
                <w:sz w:val="16"/>
                <w:szCs w:val="16"/>
              </w:rPr>
              <w:t xml:space="preserve">Complex Text &amp; Concepts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5"/>
                <w:szCs w:val="15"/>
              </w:rPr>
              <w:t xml:space="preserve">• Content word walls referenced
• Graphic organizers, charts, rubrics used
• Print-rich environment with varied genres &amp; text types
• Student work displays evidence of literacy strategies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5"/>
                <w:szCs w:val="15"/>
              </w:rPr>
              <w:t xml:space="preserve">• Uses intentional questioning &amp; literacy strategies
• Models/provides mini-lessons on comprehension strategies
• Leads guided reading groups with complex text
• Provides scaffolding: analyzing, comparing, predicting, inferring
• Models use of appropriate tools with complex text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333333"/>
                <w:sz w:val="15"/>
                <w:szCs w:val="15"/>
              </w:rPr>
              <w:t xml:space="preserve">• How do you support readers with complex material?
• How do you support conversations using complex content?
• How do you teach reading strategies using complex text?</w:t>
            </w:r>
          </w:p>
        </w:tc>
      </w:tr>
      <w:t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4A148C"/>
                <w:sz w:val="28"/>
                <w:szCs w:val="28"/>
              </w:rPr>
              <w:t xml:space="preserve">12</w:t>
            </w:r>
          </w:p>
          <w:p>
            <w:r>
              <w:rPr>
                <w:rFonts w:ascii="Arial" w:cs="Arial" w:eastAsia="Arial" w:hAnsi="Arial"/>
                <w:b/>
                <w:bCs/>
                <w:color w:val="4A148C"/>
                <w:sz w:val="16"/>
                <w:szCs w:val="16"/>
              </w:rPr>
              <w:t xml:space="preserve">Higher-Order Questions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5"/>
                <w:szCs w:val="15"/>
              </w:rPr>
              <w:t xml:space="preserve">• Anchor charts/bookmarks with HOQ stems
• Essential/guiding questions require higher-level processing
• Authentic student work shows evidence of higher-order tasks
• Safe climate for questions without judgment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5"/>
                <w:szCs w:val="15"/>
              </w:rPr>
              <w:t xml:space="preserve">• Implements lessons that facilitate HOQ discourse (written/spoken)
• Crafts prompts using Bloom's / DOK / Costa
• Teaches &amp; models asking and answering HOQs
• Provides tools (anchor charts, bookmarks, protocols)
• Engages ALL students in higher-order discourse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333333"/>
                <w:sz w:val="15"/>
                <w:szCs w:val="15"/>
              </w:rPr>
              <w:t xml:space="preserve">• How do you plan for HOQs in verbal &amp; written questioning?
• How do you model 'asking and answering' HOQs?
• What participation strategies ensure all students can respond?</w:t>
            </w:r>
          </w:p>
        </w:tc>
      </w:tr>
      <w:t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4A148C"/>
                <w:sz w:val="28"/>
                <w:szCs w:val="28"/>
              </w:rPr>
              <w:t xml:space="preserve">13</w:t>
            </w:r>
          </w:p>
          <w:p>
            <w:r>
              <w:rPr>
                <w:rFonts w:ascii="Arial" w:cs="Arial" w:eastAsia="Arial" w:hAnsi="Arial"/>
                <w:b/>
                <w:bCs/>
                <w:color w:val="4A148C"/>
                <w:sz w:val="16"/>
                <w:szCs w:val="16"/>
              </w:rPr>
              <w:t xml:space="preserve">Evidence from Text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5"/>
                <w:szCs w:val="15"/>
              </w:rPr>
              <w:t xml:space="preserve">• Texts &amp; content-specific resources in use
• Respectful behavior &amp; tone modeled
• Structured collaboration opportunities
• Rigorous tasks with scaffolds; multiple entry points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5"/>
                <w:szCs w:val="15"/>
              </w:rPr>
              <w:t xml:space="preserve">• Implements tasks with planned, scaffolded questions promoting discourse
• Provides access to texts &amp; content-specific resources
• Models &amp; coaches analysis of resources
• Models &amp; coaches synthesis of ideas, arguments, opinions
• Prompts students for evidence that justifies responses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333333"/>
                <w:sz w:val="15"/>
                <w:szCs w:val="15"/>
              </w:rPr>
              <w:t xml:space="preserve">• What strategies encourage use of evidence from multiple texts?
• How do you ensure students use textual evidence in responses?
• How do you model &amp; coach students to analyze and synthesize?</w:t>
            </w:r>
          </w:p>
        </w:tc>
      </w:tr>
      <w:tr>
        <w:tc>
          <w:tcPr>
            <w:gridSpan w:val="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666666"/>
                <w:sz w:val="14"/>
                <w:szCs w:val="14"/>
              </w:rPr>
              <w:t xml:space="preserve">Learning Walkthroughs are growth-oriented and non-evaluative. Descriptive, specific, and actionable feedback supports continuous improvement. | DoDEA Learning Walkthrough Implementation Guide 2.0 (July 2023)</w:t>
            </w:r>
          </w:p>
        </w:tc>
      </w:tr>
    </w:tbl>
    <w:sectPr>
      <w:pgSz w:w="15840" w:h="12240" w:orient="landscape"/>
      <w:pgMar w:top="540" w:right="540" w:bottom="540" w:left="5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2026-04-06T06:47:10.947Z</dcterms:created>
  <dcterms:modified xsi:type="dcterms:W3CDTF">2026-04-06T06:47:10.949Z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