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46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688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D8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Understanding Your Learning Walkthrough Results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0D080"/>
                <w:sz w:val="22"/>
                <w:szCs w:val="22"/>
              </w:rPr>
              <w:t xml:space="preserve">When an Indicator is Marked </w:t>
            </w:r>
            <w:r>
              <w:rPr>
                <w:rFonts w:ascii="Arial" w:cs="Arial" w:eastAsia="Arial" w:hAnsi="Arial"/>
                <w:b/>
                <w:bCs/>
                <w:color w:val="FFD700"/>
                <w:sz w:val="22"/>
                <w:szCs w:val="22"/>
              </w:rPr>
              <w:t xml:space="preserve">Not Observed</w:t>
            </w:r>
            <w:r>
              <w:rPr>
                <w:rFonts w:ascii="Arial" w:cs="Arial" w:eastAsia="Arial" w:hAnsi="Arial"/>
                <w:color w:val="F0D080"/>
                <w:sz w:val="22"/>
                <w:szCs w:val="22"/>
              </w:rPr>
              <w:t xml:space="preserve"> — Why It Happens &amp; What to Try Next  |  </w:t>
            </w:r>
            <w:r>
              <w:rPr>
                <w:rFonts w:ascii="Arial" w:cs="Arial" w:eastAsia="Arial" w:hAnsi="Arial"/>
                <w:i/>
                <w:iCs/>
                <w:color w:val="C8C8C8"/>
                <w:sz w:val="22"/>
                <w:szCs w:val="22"/>
              </w:rPr>
              <w:t xml:space="preserve">Page 1 of 2  |  Indicators 1–7: Learning Environment &amp; Facilitating Learning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GES Grizzlies | Grafenwoehr Elementary School  |  </w:t>
            </w: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Not Observed does not mean wrong — it means the evidence was not visible during this snapshot. Use this guide to plan forward.</w:t>
            </w:r>
          </w:p>
        </w:tc>
      </w:tr>
    </w:tbl>
    <w:p>
      <w:pPr>
        <w:spacing w:after="60" w:before="0"/>
      </w:pPr>
    </w:p>
    <w:tbl>
      <w:tblPr>
        <w:tblW w:type="dxa" w:w="146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5760"/>
        <w:gridCol w:w="6768"/>
      </w:tblGrid>
      <w:tr>
        <w:trPr>
          <w:tblHeader/>
        </w:trPr>
        <w:tc>
          <w:tcPr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5B2D8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INDICATOR</w:t>
            </w:r>
          </w:p>
        </w:tc>
        <w:tc>
          <w:tcPr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B71C1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WHY IT MAY HAVE BEEN MARKED NOT OBSERVED</w:t>
            </w:r>
          </w:p>
        </w:tc>
        <w:tc>
          <w:tcPr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1B5E2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WHAT TO TRY BEFORE THE NEXT WALKTHROUGH</w:t>
            </w:r>
          </w:p>
        </w:tc>
      </w:tr>
      <w:tr>
        <w:tc>
          <w:tcPr>
            <w:gridSpan w:val="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2E7D32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LEARNING ENVIRONMENT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BF5EB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E7D32"/>
                <w:sz w:val="28"/>
                <w:szCs w:val="28"/>
              </w:rPr>
              <w:t xml:space="preserve">1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5"/>
                <w:szCs w:val="15"/>
              </w:rPr>
              <w:t xml:space="preserve">Student-Centered Learning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were primarily passive — listening or watching rather than actively doing.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room arrangement did not allow for student movement or collaboration.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Voice and choice were absent; all students completed identical tasks with no options.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Anchor charts, norms, or learning goals were missing or not referenced by students.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teacher directed all activity; students were not given ownership of their progress.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Post learning goals in student-friendly language and ask students to reference them during work time.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Rearrange furniture before the lesson so students can face each other during collaborative tasks.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Offer at least two task options that differ by product, process, or level — even for a portion of the lesson.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Add one student-to-student talking structure (turn-and-talk, think-pair-share) to your lesson plan.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Create or revisit class norms with students and post them where they are easily referenced.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BF5EB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E7D32"/>
                <w:sz w:val="28"/>
                <w:szCs w:val="28"/>
              </w:rPr>
              <w:t xml:space="preserve">2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5"/>
                <w:szCs w:val="15"/>
              </w:rPr>
              <w:t xml:space="preserve">DoDEA-Adopted Materials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Locally sourced worksheets or teacher-created materials were the primary resource.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Supplementary materials replaced rather than extended the adopted curriculum.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adopted text was present but not being actively used during the observation window.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Digital tools or software used were not on the DoDEA Approved Software List.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Open the adopted text with students — reference specific page numbers aloud.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Anchor your lesson in the adopted curriculum first, then layer in any supplementary resources.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Display and reference anchor charts or learning aids that come directly from adopted materials.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Check the DoDEA Approved Software List before introducing a new digital tool.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If you supplement, be ready to explain how it connects to the adopted materials standard.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BF5EB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E7D32"/>
                <w:sz w:val="28"/>
                <w:szCs w:val="28"/>
              </w:rPr>
              <w:t xml:space="preserve">3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5"/>
                <w:szCs w:val="15"/>
              </w:rPr>
              <w:t xml:space="preserve">Digital Tools / Multimedia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Technology was used only at the substitution level — e.g., typing instead of writing.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consumed digital content but did not create, collaborate, or publish with it.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Devices were present but not integrated into the learning task.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No digital tools or multimedia were in use during this observation window.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Design one task segment where students use a digital tool to collaborate, create, or share — not just consume.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a shared Google Doc or Slides so students can contribute simultaneously and see each other's thinking.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Ask yourself: does the tech change what students can do, or just how they do it? Aim for modification or redefinition.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Incorporate a short student-created product (voice recording, digital poster, annotated image) at the close of the lesson.</w:t>
            </w:r>
          </w:p>
        </w:tc>
      </w:tr>
      <w:tr>
        <w:tc>
          <w:tcPr>
            <w:gridSpan w:val="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1565C0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FACILITATING LEARNING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0FC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8"/>
                <w:szCs w:val="28"/>
              </w:rPr>
              <w:t xml:space="preserve">4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5"/>
                <w:szCs w:val="15"/>
              </w:rPr>
              <w:t xml:space="preserve">High Expectations for Student Success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Tasks were completed quickly with little challenge — the cognitive demand was low.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Struggling students were given answers rather than scaffolded toward correct thinking.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Praise was general ('great job!') rather than tied to specific academic effort or progress.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Success criteria, rubrics, or exemplars were absent or not referenced.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Some students were not asked to respond or engage at all during the observation.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Post and verbally reference success criteria (rubric, checklist, or exemplar) at the start of the lesson.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Replace immediate answers with scaffolding questions: 'What do you know for sure? What could you try first?'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Cold call or use equity sticks to ensure all students are invited to respond during whole-group instruction.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Tie your praise to learning: 'I noticed you re-read that paragraph to check your answer — that's exactly what strong readers do.'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Add a challenge extension option for students who finish early so rigor is maintained for all.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0FC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8"/>
                <w:szCs w:val="28"/>
              </w:rPr>
              <w:t xml:space="preserve">5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5"/>
                <w:szCs w:val="15"/>
              </w:rPr>
              <w:t xml:space="preserve">Lesson Pacing &amp; Student Engagement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One activity dominated the full observation period with no transitions or structure changes.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Several students were off-task, waiting, or disengaged for extended stretches.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lesson moved too quickly for students to process before moving on, or too slowly, losing momentum.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were passive observers rather than active participants.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20-60-20 framework was not evident — opening or closing routines were missing.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Plan visible transitions: a clear opening hook, a defined work session, and a purposeful closing routine.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Build in at least one structured student-to-student interaction every 10–12 minutes.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a timer visibly so students know how much time they have — this supports pacing and focus.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Add a processing pause mid-lesson: stop and ask students to write, sketch, or tell a partner what they understand so far.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Review your lesson plan and check that work time accounts for approximately 60% of the period.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0FC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8"/>
                <w:szCs w:val="28"/>
              </w:rPr>
              <w:t xml:space="preserve">6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5"/>
                <w:szCs w:val="15"/>
              </w:rPr>
              <w:t xml:space="preserve">Flexible Groups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worked in the same assigned seats or groups as every other day — groupings appeared static.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Groups were randomly or socially formed rather than based on learning data.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Whole-group instruction was the only structure used throughout the observation.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Small group or partner work was visible but students didn't have clear roles or tasks.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Before your next lesson, look at recent exit ticket or assessment data and sort students into two or three groups by readiness.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Plan at least one segment where students work in a group other than their default seating group.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Assign clear group roles (facilitator, recorder, reporter, timekeeper) and post them visibly.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Vary your grouping structure across the week: sometimes homogeneous for targeted instruction, sometimes heterogeneous for collaborative tasks.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Document your grouping rationale briefly — it reinforces that groups are intentional and data-driven.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0FC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8"/>
                <w:szCs w:val="28"/>
              </w:rPr>
              <w:t xml:space="preserve">7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5"/>
                <w:szCs w:val="15"/>
              </w:rPr>
              <w:t xml:space="preserve">Formative Assessment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Instruction continued at the same pace regardless of student understanding.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Checking for understanding was limited to one or two volunteers raising their hands.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No formal or informal FA tool was used during the lesson segment observed.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Exit tickets, whiteboards, or self-assessment tools were not incorporated.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Feedback to students was general rather than connected to specific learning goals.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Add one non-volunteer CFU technique: thumbs up/down, whiteboard show, colored cards, or a quick written response.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Plan a mid-lesson pause where all students respond in writing before you move 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an entrance or exit slip tied directly to today's learning goal — even a single-sentence response counts.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student responses to visibly adjust instruction: 'I can see about half of us are still working this out — let's try it a different way.'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Introduce one peer-feedback protocol (e.g., two stars and a question) so students assess each other using goal language.</w:t>
            </w:r>
          </w:p>
        </w:tc>
      </w:tr>
    </w:tbl>
    <w:p>
      <w:pPr>
        <w:sectPr>
          <w:pgSz w:w="15840" w:h="12240" w:orient="landscape"/>
          <w:pgMar w:top="432" w:right="432" w:bottom="432" w:left="432" w:header="708" w:footer="708" w:gutter="0"/>
          <w:pgNumType/>
          <w:docGrid w:linePitch="360"/>
        </w:sectPr>
      </w:pPr>
    </w:p>
    <w:tbl>
      <w:tblPr>
        <w:tblW w:type="dxa" w:w="146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688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D8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Understanding Your Learning Walkthrough Results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0D080"/>
                <w:sz w:val="22"/>
                <w:szCs w:val="22"/>
              </w:rPr>
              <w:t xml:space="preserve">When an Indicator is Marked </w:t>
            </w:r>
            <w:r>
              <w:rPr>
                <w:rFonts w:ascii="Arial" w:cs="Arial" w:eastAsia="Arial" w:hAnsi="Arial"/>
                <w:b/>
                <w:bCs/>
                <w:color w:val="FFD700"/>
                <w:sz w:val="22"/>
                <w:szCs w:val="22"/>
              </w:rPr>
              <w:t xml:space="preserve">Not Observed</w:t>
            </w:r>
            <w:r>
              <w:rPr>
                <w:rFonts w:ascii="Arial" w:cs="Arial" w:eastAsia="Arial" w:hAnsi="Arial"/>
                <w:color w:val="F0D080"/>
                <w:sz w:val="22"/>
                <w:szCs w:val="22"/>
              </w:rPr>
              <w:t xml:space="preserve"> — Why It Happens &amp; What to Try Next  |  </w:t>
            </w:r>
            <w:r>
              <w:rPr>
                <w:rFonts w:ascii="Arial" w:cs="Arial" w:eastAsia="Arial" w:hAnsi="Arial"/>
                <w:i/>
                <w:iCs/>
                <w:color w:val="C8C8C8"/>
                <w:sz w:val="22"/>
                <w:szCs w:val="22"/>
              </w:rPr>
              <w:t xml:space="preserve">Page 2 of 2  |  Indicators 8–13: Instructional Shifts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GES Grizzlies | Grafenwoehr Elementary School  |  </w:t>
            </w: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Not Observed does not mean wrong — it means the evidence was not visible during this snapshot. Use this guide to plan forward.</w:t>
            </w:r>
          </w:p>
        </w:tc>
      </w:tr>
    </w:tbl>
    <w:p>
      <w:pPr>
        <w:spacing w:after="60" w:before="0"/>
      </w:pPr>
    </w:p>
    <w:tbl>
      <w:tblPr>
        <w:tblW w:type="dxa" w:w="146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5760"/>
        <w:gridCol w:w="6768"/>
      </w:tblGrid>
      <w:tr>
        <w:trPr>
          <w:tblHeader/>
        </w:trPr>
        <w:tc>
          <w:tcPr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5B2D8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INDICATOR</w:t>
            </w:r>
          </w:p>
        </w:tc>
        <w:tc>
          <w:tcPr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B71C1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WHY IT MAY HAVE BEEN MARKED NOT OBSERVED</w:t>
            </w:r>
          </w:p>
        </w:tc>
        <w:tc>
          <w:tcPr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1B5E2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WHAT TO TRY BEFORE THE NEXT WALKTHROUGH</w:t>
            </w:r>
          </w:p>
        </w:tc>
      </w:tr>
      <w:tr>
        <w:tc>
          <w:tcPr>
            <w:gridSpan w:val="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4A148C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INSTRUCTIONAL SHIFTS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EBF8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8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4A148C"/>
                <w:sz w:val="15"/>
                <w:szCs w:val="15"/>
              </w:rPr>
              <w:t xml:space="preserve">Goals / Objectives Beyond Posting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A learning goal was posted on the board but never referenced verbally during the lesson.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could describe the activity but could not articulate the learning goal when asked.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goal was stated only at the very beginning and then not revisited.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Tasks were not visibly connected to the stated objective.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Reference the goal at least three times: at the opening, during the work session, and at the close.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Ask two or three students mid-lesson: 'What is today's learning goal?' If they can't say it, pause and re-anchor.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Connect your task directions to the goal explicitly: 'We're doing this because our goal today is...'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At the close of the lesson, ask students to reflect: 'How close are you to meeting today's goal? Show me with a thumbs up, side, or down.'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sentence frames to help students articulate the goal in their own words: 'Today I am learning to... because...'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EBF8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9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4A148C"/>
                <w:sz w:val="15"/>
                <w:szCs w:val="15"/>
              </w:rPr>
              <w:t xml:space="preserve">Productive Struggle / Problem-Solving / Reasoning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Tasks were completed quickly with a single correct path — no genuine struggle was required.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teacher stepped in immediately when students were stuck, removing the opportunity to persist.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were asked to recall or apply a memorized procedure rather than reason through a problem.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Wait time was very short — less than 3 seconds — before assistance was offered.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Choose or design a task that has more than one solution path and cannot be answered in one step.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Practice waiting at least 5–7 seconds after a question before offering a hint or moving 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When students are stuck, ask rather than tell: 'What have you tried? What do you know for sure? What's one thing you could test?'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Build a 'productive struggle routine': post a visual anchor (e.g., 'Before you ask me, try: re-read, re-draw, ask a partner').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Celebrate persistence explicitly: 'I saw you try three different approaches before you got there — that is exactly what mathematicians/writers/scientists do.'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EBF8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10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4A148C"/>
                <w:sz w:val="15"/>
                <w:szCs w:val="15"/>
              </w:rPr>
              <w:t xml:space="preserve">Domain Specific Vocabulary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Everyday language was used in place of content-specific terms (e.g., 'the answer' instead of 'the quotient').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Vocabulary was introduced but not reinforced through student use in speaking or writing.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Word walls or vocabulary resources were present but not referenced during the lesson.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were not expected or prompted to use domain vocabulary in their responses.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Identify 2–3 key domain terms for the lesson and write them on the board — reference them by name throughout.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Prompt students to use the target word in a complete sentence when they respond: 'Say it using our term.'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Add a sentence stem that includes the vocabulary: 'I know the ___ is ___ because...'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Point to the word wall when a student uses informal language and redirect: 'What's our math word for that?'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Include one written response where students must use at least one domain term to explain their thinking.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EBF8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11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4A148C"/>
                <w:sz w:val="15"/>
                <w:szCs w:val="15"/>
              </w:rPr>
              <w:t xml:space="preserve">Complex Text &amp; Concepts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Reading material was below grade-level complexity or was primarily teacher-summarized.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answered literal comprehension questions only — no analysis or inference was required.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Text was read aloud in its entirety by the teacher with no student interaction with the actual text.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Content-specific concepts were presented as definitions to copy rather than ideas to grapple with.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Give students access to the actual text and ask them to annotate, underline, or flag a specific idea.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After reading, move beyond 'what happened' questions to 'why' and 'how do you know from the text?'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Try a short close-reading segment: read a complex paragraph twice, asking a different question each time.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a graphic organizer that requires students to compare, infer, or find patterns — not just recall facts.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Let students read in partners and discuss before sharing with the whole group, so all students process the text.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EBF8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12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4A148C"/>
                <w:sz w:val="15"/>
                <w:szCs w:val="15"/>
              </w:rPr>
              <w:t xml:space="preserve">Higher-Order Questions &amp; Discourse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Most questions required single-word or recall answers ('What is...? Who can tell me...?').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Only a few students responded; the rest were passive observers of the discussion.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 responses were brief and were not followed up with probing questions.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Discourse was primarily teacher-to-student; there was little student-to-student dialogue.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Rewrite 2–3 questions from your lesson plan to require analysis, evaluation, or synthesis — use a Bloom's or DOK reference card.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After a student responds, prompt the class: 'Does anyone agree or disagree? Why?' to spark student-to-student discourse.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a Socratic seminar, fishbowl, or think-pair-share to shift discussion ownership to students.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Post higher-order question stems on the wall and ask students to generate their own questions about the content.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Try 'no hands up' whole-group discussion using equity sticks to distribute participation.</w:t>
            </w:r>
          </w:p>
        </w:tc>
      </w:tr>
      <w:tr>
        <w:tc>
          <w:tcPr>
            <w:tcW w:type="dxa" w:w="21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EBF8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13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4A148C"/>
                <w:sz w:val="15"/>
                <w:szCs w:val="15"/>
              </w:rPr>
              <w:t xml:space="preserve">Evidence from Text / Content Resources</w:t>
            </w:r>
          </w:p>
        </w:tc>
        <w:tc>
          <w:tcPr>
            <w:tcW w:type="dxa" w:w="576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5F5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Students stated opinions or conclusions without referring back to a text or resource.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Discussion was based on prior knowledge or personal experience rather than evidence.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The teacher prompted for evidence ('How do you know?') but students were not expected to cite specifically.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8B1A1A"/>
                <w:sz w:val="15"/>
                <w:szCs w:val="15"/>
              </w:rPr>
              <w:t xml:space="preserve">Written responses contained claims but no textual support or citation.</w:t>
            </w:r>
          </w:p>
        </w:tc>
        <w:tc>
          <w:tcPr>
            <w:tcW w:type="dxa" w:w="676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0" w:val="clear"/>
            <w:tcMar>
              <w:top w:type="dxa" w:w="80"/>
              <w:left w:type="dxa" w:w="130"/>
              <w:bottom w:type="dxa" w:w="80"/>
              <w:right w:type="dxa" w:w="10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Add a non-negotiable expectation to all discussions: 'You must be able to point to evidence — where in the text or resource does it say that?'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Use a sentence frame for both spoken and written responses: 'I know this because on page ___, it says...' or 'According to...'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Teach and display a citation protocol that students use consistently across content areas.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Design your written task so that it cannot be answered without consulting the text (e.g., 'Use at least two pieces of evidence from today's reading to support your thinking').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3D1A"/>
                <w:sz w:val="15"/>
                <w:szCs w:val="15"/>
              </w:rPr>
              <w:t xml:space="preserve">•  </w:t>
            </w:r>
            <w:r>
              <w:rPr>
                <w:rFonts w:ascii="Arial" w:cs="Arial" w:eastAsia="Arial" w:hAnsi="Arial"/>
                <w:color w:val="1A3D1A"/>
                <w:sz w:val="15"/>
                <w:szCs w:val="15"/>
              </w:rPr>
              <w:t xml:space="preserve">During partner or small group discussion, assign one student the role of 'evidence checker' whose job is to ask 'Where does it say that?'</w:t>
            </w:r>
          </w:p>
        </w:tc>
      </w:tr>
    </w:tbl>
    <w:p>
      <w:pPr>
        <w:spacing w:before="8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Remember: Learning Walkthroughs are non-evaluative growth tools. 'Not Observed' is a starting point for conversation — not a judgment. Reach out to your principal or ISS for coaching support on any indicator.</w:t>
      </w:r>
    </w:p>
    <w:sectPr>
      <w:pgSz w:w="15840" w:h="12240" w:orient="landscape"/>
      <w:pgMar w:top="432" w:right="432" w:bottom="432" w:left="43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2026-04-06T07:10:47.772Z</dcterms:created>
  <dcterms:modified xsi:type="dcterms:W3CDTF">2026-04-06T07:10:47.773Z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